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rPr>
          <w:bCs/>
          <w:b/>
        </w:rPr>
        <w:t xml:space="preserve">TecnoMecánica S.A.</w:t>
      </w:r>
    </w:p>
    <w:p>
      <w:pPr>
        <w:pStyle w:val="BodyText"/>
      </w:pPr>
      <w:r>
        <w:t xml:space="preserve">Av. Corrientes 2340, Piso 12, C1043AAB Buenos Aires, Argentina</w:t>
      </w:r>
    </w:p>
    <w:p>
      <w:pPr>
        <w:pStyle w:val="BodyText"/>
      </w:pPr>
      <w:r>
        <w:t xml:space="preserve">CUIT: 30-71234567-8 | Tel: +54 11 4321-5678 | Email: estimates@tecnomecanica.com.ar</w:t>
      </w:r>
    </w:p>
    <w:bookmarkEnd w:id="20"/>
    <w:p>
      <w:pPr>
        <w:pStyle w:val="BodyText"/>
      </w:pPr>
      <w:r>
        <w:rPr>
          <w:bCs/>
          <w:b/>
        </w:rPr>
        <w:t xml:space="preserve">Quotation No.:</w:t>
      </w:r>
      <w:r>
        <w:t xml:space="preserve"> </w:t>
      </w:r>
      <w:r>
        <w:t xml:space="preserve">QE-2025-0487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w:t>
      </w:r>
      <w:r>
        <w:t xml:space="preserve"> </w:t>
      </w:r>
      <w:r>
        <w:t xml:space="preserve">Argentina Buenos Aires</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Industrial Automation Solutions SRL</w:t>
            </w:r>
          </w:p>
        </w:tc>
        <w:tc>
          <w:tcPr/>
          <w:p>
            <w:pPr>
              <w:pStyle w:val="Compact"/>
              <w:jc w:val="left"/>
            </w:pPr>
            <w:r>
              <w:rPr>
                <w:bCs/>
                <w:b/>
              </w:rPr>
              <w:t xml:space="preserve">Contact Person:</w:t>
            </w:r>
            <w:r>
              <w:t xml:space="preserve"> </w:t>
            </w:r>
            <w:r>
              <w:t xml:space="preserve">Ing. María González</w:t>
            </w:r>
          </w:p>
        </w:tc>
      </w:tr>
      <w:tr>
        <w:tc>
          <w:tcPr/>
          <w:p>
            <w:pPr>
              <w:pStyle w:val="Compact"/>
              <w:jc w:val="left"/>
            </w:pPr>
            <w:r>
              <w:rPr>
                <w:bCs/>
                <w:b/>
              </w:rPr>
              <w:t xml:space="preserve">Address:</w:t>
            </w:r>
            <w:r>
              <w:t xml:space="preserve"> </w:t>
            </w:r>
            <w:r>
              <w:t xml:space="preserve">Av. Rivadavia 4567, Piso 8, C1033AAN Buenos Aires, Argentina</w:t>
            </w:r>
          </w:p>
        </w:tc>
        <w:tc>
          <w:tcPr/>
          <w:p>
            <w:pPr>
              <w:pStyle w:val="Compact"/>
              <w:jc w:val="left"/>
            </w:pPr>
            <w:r>
              <w:rPr>
                <w:bCs/>
                <w:b/>
              </w:rPr>
              <w:t xml:space="preserve">Phone:</w:t>
            </w:r>
            <w:r>
              <w:t xml:space="preserve"> </w:t>
            </w:r>
            <w:r>
              <w:t xml:space="preserve">+54 11 5678-9012</w:t>
            </w:r>
          </w:p>
        </w:tc>
      </w:tr>
      <w:tr>
        <w:tc>
          <w:tcPr/>
          <w:p>
            <w:pPr>
              <w:pStyle w:val="Compact"/>
              <w:jc w:val="left"/>
            </w:pPr>
            <w:r>
              <w:rPr>
                <w:bCs/>
                <w:b/>
              </w:rPr>
              <w:t xml:space="preserve">Email:</w:t>
            </w:r>
            <w:r>
              <w:t xml:space="preserve"> </w:t>
            </w:r>
            <w:r>
              <w:t xml:space="preserve">m.gonzalez@iasolutions.com.ar</w:t>
            </w:r>
          </w:p>
        </w:tc>
        <w:tc>
          <w:tcPr/>
          <w:p>
            <w:pPr>
              <w:pStyle w:val="Compact"/>
              <w:jc w:val="left"/>
            </w:pPr>
            <w:r>
              <w:rPr>
                <w:bCs/>
                <w:b/>
              </w:rPr>
              <w:t xml:space="preserve">CUIT:</w:t>
            </w:r>
            <w:r>
              <w:t xml:space="preserve"> </w:t>
            </w:r>
            <w:r>
              <w:t xml:space="preserve">30-69876543-1</w:t>
            </w:r>
          </w:p>
        </w:tc>
      </w:tr>
    </w:tbl>
    <w:bookmarkEnd w:id="21"/>
    <w:bookmarkStart w:id="22" w:name="scope-of-services-mechatronics-engineer"/>
    <w:p>
      <w:pPr>
        <w:pStyle w:val="Heading2"/>
      </w:pPr>
      <w:r>
        <w:t xml:space="preserve">2. Scope of Services – Mechatronics Engineer</w:t>
      </w:r>
    </w:p>
    <w:p>
      <w:pPr>
        <w:pStyle w:val="FirstParagraph"/>
      </w:pPr>
      <w:r>
        <w:t xml:space="preserve">This</w:t>
      </w:r>
      <w:r>
        <w:t xml:space="preserve"> </w:t>
      </w:r>
      <w:r>
        <w:t xml:space="preserve">Quotation Estimate</w:t>
      </w:r>
      <w:r>
        <w:t xml:space="preserve"> </w:t>
      </w:r>
      <w:r>
        <w:t xml:space="preserve">is issued by TecnoMecánica S.A. to provide comprehensive professional services rendered by a certified</w:t>
      </w:r>
      <w:r>
        <w:t xml:space="preserve"> </w:t>
      </w:r>
      <w:r>
        <w:t xml:space="preserve">Mechatronics Engineer</w:t>
      </w:r>
      <w:r>
        <w:t xml:space="preserve"> </w:t>
      </w:r>
      <w:r>
        <w:t xml:space="preserve">for the design, implementation, and commissioning of an integrated automation system at the client's manufacturing facility located in</w:t>
      </w:r>
      <w:r>
        <w:t xml:space="preserve"> </w:t>
      </w:r>
      <w:r>
        <w:t xml:space="preserve">Argentina Buenos Aires</w:t>
      </w:r>
      <w:r>
        <w:t xml:space="preserve">. The scope encompasses all technical activities required to deliver a fully operational mechatronic solution, including mechanical design, electrical control systems, embedded software programming, and final system integration.</w:t>
      </w:r>
    </w:p>
    <w:p>
      <w:pPr>
        <w:pStyle w:val="BodyText"/>
      </w:pPr>
      <w:r>
        <w:t xml:space="preserve">The</w:t>
      </w:r>
      <w:r>
        <w:t xml:space="preserve"> </w:t>
      </w:r>
      <w:r>
        <w:t xml:space="preserve">Mechatronics Engineer</w:t>
      </w:r>
      <w:r>
        <w:t xml:space="preserve"> </w:t>
      </w:r>
      <w:r>
        <w:t xml:space="preserve">assigned to this project holds a professional degree from the Universidad de Buenos Aires (UBA) and possesses over twelve (12) years of experience in industrial automation, robotics, and control systems engineering within the</w:t>
      </w:r>
      <w:r>
        <w:t xml:space="preserve"> </w:t>
      </w:r>
      <w:r>
        <w:t xml:space="preserve">Argentina Buenos Aires</w:t>
      </w:r>
      <w:r>
        <w:t xml:space="preserve"> </w:t>
      </w:r>
      <w:r>
        <w:t xml:space="preserve">metropolitan industrial corridor. All services will be performed in strict compliance with Argentine national standards (IRAM), IEC 61131-3 for PLC programming, and applicable safety regulations established by the Ministry of Labor of the Province of Buenos Aires.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site assessment and feasibility study at the client's plant in Argentina Buenos Aires. Includes process mapping, existing infrastructure audit, and requirements gathering with the operations team.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5 business days</w:t>
            </w:r>
          </w:p>
        </w:tc>
      </w:tr>
      <w:tr>
        <w:tc>
          <w:tcPr/>
          <w:p>
            <w:pPr>
              <w:pStyle w:val="Compact"/>
              <w:jc w:val="left"/>
            </w:pPr>
            <w:r>
              <w:t xml:space="preserve">2</w:t>
            </w:r>
          </w:p>
        </w:tc>
        <w:tc>
          <w:tcPr/>
          <w:p>
            <w:pPr>
              <w:pStyle w:val="Compact"/>
              <w:jc w:val="left"/>
            </w:pPr>
            <w:r>
              <w:t xml:space="preserve">Mechatronics Engineer – System architecture design. Development of the complete mechatronic system blueprint including mechanical CAD models (SolidWorks), electrical schematics (EPLAN), and control logic architecture (Siemens TIA Portal).</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15 business days</w:t>
            </w:r>
          </w:p>
        </w:tc>
      </w:tr>
      <w:tr>
        <w:tc>
          <w:tcPr/>
          <w:p>
            <w:pPr>
              <w:pStyle w:val="Compact"/>
              <w:jc w:val="left"/>
            </w:pPr>
            <w:r>
              <w:t xml:space="preserve">3</w:t>
            </w:r>
          </w:p>
        </w:tc>
        <w:tc>
          <w:tcPr/>
          <w:p>
            <w:pPr>
              <w:pStyle w:val="Compact"/>
              <w:jc w:val="left"/>
            </w:pPr>
            <w:r>
              <w:t xml:space="preserve">Mechatronics Engineer – PLC and HMI programming. Full development of ladder logic, function block diagrams, and human-machine interface screens for the automated production line. Includes 200+ I/O points configuration.</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c>
          <w:tcPr/>
          <w:p>
            <w:pPr>
              <w:pStyle w:val="Compact"/>
              <w:jc w:val="left"/>
            </w:pPr>
            <w:r>
              <w:t xml:space="preserve">12 business days</w:t>
            </w:r>
          </w:p>
        </w:tc>
      </w:tr>
      <w:tr>
        <w:tc>
          <w:tcPr/>
          <w:p>
            <w:pPr>
              <w:pStyle w:val="Compact"/>
              <w:jc w:val="left"/>
            </w:pPr>
            <w:r>
              <w:t xml:space="preserve">4</w:t>
            </w:r>
          </w:p>
        </w:tc>
        <w:tc>
          <w:tcPr/>
          <w:p>
            <w:pPr>
              <w:pStyle w:val="Compact"/>
              <w:jc w:val="left"/>
            </w:pPr>
            <w:r>
              <w:t xml:space="preserve">Mechatronics Engineer – Embedded software and sensor integration. Programming of microcontroller-based control units, calibration of proximity, vision, and load-cell sensors, and communication protocol setup (PROFINET, Modbus TCP).</w:t>
            </w:r>
          </w:p>
        </w:tc>
        <w:tc>
          <w:tcPr/>
          <w:p>
            <w:pPr>
              <w:pStyle w:val="Compact"/>
              <w:jc w:val="left"/>
            </w:pPr>
            <w:r>
              <w:t xml:space="preserve">1</w:t>
            </w:r>
          </w:p>
        </w:tc>
        <w:tc>
          <w:tcPr/>
          <w:p>
            <w:pPr>
              <w:pStyle w:val="Compact"/>
              <w:jc w:val="left"/>
            </w:pPr>
            <w:r>
              <w:t xml:space="preserve">295,000.00</w:t>
            </w:r>
          </w:p>
        </w:tc>
        <w:tc>
          <w:tcPr/>
          <w:p>
            <w:pPr>
              <w:pStyle w:val="Compact"/>
              <w:jc w:val="left"/>
            </w:pPr>
            <w:r>
              <w:t xml:space="preserve">295,000.00</w:t>
            </w:r>
          </w:p>
        </w:tc>
        <w:tc>
          <w:tcPr/>
          <w:p>
            <w:pPr>
              <w:pStyle w:val="Compact"/>
              <w:jc w:val="left"/>
            </w:pPr>
            <w:r>
              <w:t xml:space="preserve">10 business days</w:t>
            </w:r>
          </w:p>
        </w:tc>
      </w:tr>
      <w:tr>
        <w:tc>
          <w:tcPr/>
          <w:p>
            <w:pPr>
              <w:pStyle w:val="Compact"/>
              <w:jc w:val="left"/>
            </w:pPr>
            <w:r>
              <w:t xml:space="preserve">5</w:t>
            </w:r>
          </w:p>
        </w:tc>
        <w:tc>
          <w:tcPr/>
          <w:p>
            <w:pPr>
              <w:pStyle w:val="Compact"/>
              <w:jc w:val="left"/>
            </w:pPr>
            <w:r>
              <w:t xml:space="preserve">On-site installation, wiring, and mechanical assembly supervision in Argentina Buenos Aires. The Mechatronics Engineer will be physically present at the client's facility to oversee all installation activities and ensure compliance with design specifications.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8 business days</w:t>
            </w:r>
          </w:p>
        </w:tc>
      </w:tr>
      <w:tr>
        <w:tc>
          <w:tcPr/>
          <w:p>
            <w:pPr>
              <w:pStyle w:val="Compact"/>
              <w:jc w:val="left"/>
            </w:pPr>
            <w:r>
              <w:t xml:space="preserve">6</w:t>
            </w:r>
          </w:p>
        </w:tc>
        <w:tc>
          <w:tcPr/>
          <w:p>
            <w:pPr>
              <w:pStyle w:val="Compact"/>
              <w:jc w:val="left"/>
            </w:pPr>
            <w:r>
              <w:t xml:space="preserve">System commissioning, testing, and performance validation. Includes 72-hour continuous operation test, safety interlock verification, and generation of the final commissioning report with performance metrics.</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c>
          <w:tcPr/>
          <w:p>
            <w:pPr>
              <w:pStyle w:val="Compact"/>
              <w:jc w:val="left"/>
            </w:pPr>
            <w:r>
              <w:t xml:space="preserve">5 business days</w:t>
            </w:r>
          </w:p>
        </w:tc>
      </w:tr>
      <w:tr>
        <w:tc>
          <w:tcPr/>
          <w:p>
            <w:pPr>
              <w:pStyle w:val="Compact"/>
              <w:jc w:val="left"/>
            </w:pPr>
            <w:r>
              <w:t xml:space="preserve">7</w:t>
            </w:r>
          </w:p>
        </w:tc>
        <w:tc>
          <w:tcPr/>
          <w:p>
            <w:pPr>
              <w:pStyle w:val="Compact"/>
              <w:jc w:val="left"/>
            </w:pPr>
            <w:r>
              <w:t xml:space="preserve">Operator training and technical documentation delivery. The Mechatronics Engineer will conduct two (2) full-day training sessions for the client's maintenance and operations staff, and deliver complete as-built documentation, O&amp;M manuals, and source code.</w:t>
            </w:r>
          </w:p>
        </w:tc>
        <w:tc>
          <w:tcPr/>
          <w:p>
            <w:pPr>
              <w:pStyle w:val="Compact"/>
              <w:jc w:val="left"/>
            </w:pPr>
            <w:r>
              <w:t xml:space="preserve">1</w:t>
            </w:r>
          </w:p>
        </w:tc>
        <w:tc>
          <w:tcPr/>
          <w:p>
            <w:pPr>
              <w:pStyle w:val="Compact"/>
              <w:jc w:val="left"/>
            </w:pPr>
            <w:r>
              <w:t xml:space="preserve">165,000.00</w:t>
            </w:r>
          </w:p>
        </w:tc>
        <w:tc>
          <w:tcPr/>
          <w:p>
            <w:pPr>
              <w:pStyle w:val="Compact"/>
              <w:jc w:val="left"/>
            </w:pPr>
            <w:r>
              <w:t xml:space="preserve">165,000.00</w:t>
            </w:r>
          </w:p>
        </w:tc>
        <w:tc>
          <w:tcPr/>
          <w:p>
            <w:pPr>
              <w:pStyle w:val="Compact"/>
              <w:jc w:val="left"/>
            </w:pPr>
            <w:r>
              <w:t xml:space="preserve">3 business days</w:t>
            </w:r>
          </w:p>
        </w:tc>
      </w:tr>
      <w:tr>
        <w:tc>
          <w:tcPr/>
          <w:p>
            <w:pPr>
              <w:pStyle w:val="Compact"/>
              <w:jc w:val="left"/>
            </w:pPr>
            <w:r>
              <w:t xml:space="preserve">8</w:t>
            </w:r>
          </w:p>
        </w:tc>
        <w:tc>
          <w:tcPr/>
          <w:p>
            <w:pPr>
              <w:pStyle w:val="Compact"/>
              <w:jc w:val="left"/>
            </w:pPr>
            <w:r>
              <w:t xml:space="preserve">Post-commissioning technical support and warranty period. Remote and on-site support by the Mechatronics Engineer for any defects or performance issues arising within the warranty window.</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90 days</w:t>
            </w:r>
          </w:p>
        </w:tc>
      </w:tr>
      <w:tr>
        <w:tc>
          <w:tcPr>
            <w:gridSpan w:val="4"/>
          </w:tcPr>
          <w:p>
            <w:pPr>
              <w:pStyle w:val="Compact"/>
              <w:jc w:val="left"/>
            </w:pPr>
            <w:r>
              <w:t xml:space="preserve">SUBTOTAL (Excluding VAT / IVA)</w:t>
            </w:r>
          </w:p>
        </w:tc>
        <w:tc>
          <w:tcPr/>
          <w:p>
            <w:pPr>
              <w:pStyle w:val="Compact"/>
              <w:jc w:val="left"/>
            </w:pPr>
            <w:r>
              <w:t xml:space="preserve">2,125,000.00</w:t>
            </w:r>
          </w:p>
        </w:tc>
        <w:tc>
          <w:tcPr/>
          <w:p>
            <w:pPr>
              <w:pStyle w:val="Compact"/>
            </w:pPr>
          </w:p>
        </w:tc>
      </w:tr>
      <w:tr>
        <w:tc>
          <w:tcPr>
            <w:gridSpan w:val="4"/>
          </w:tcPr>
          <w:p>
            <w:pPr>
              <w:pStyle w:val="Compact"/>
              <w:jc w:val="left"/>
            </w:pPr>
            <w:r>
              <w:t xml:space="preserve">IVA (21% – Argentine Value Added Tax)</w:t>
            </w:r>
          </w:p>
        </w:tc>
        <w:tc>
          <w:tcPr/>
          <w:p>
            <w:pPr>
              <w:pStyle w:val="Compact"/>
              <w:jc w:val="left"/>
            </w:pPr>
            <w:r>
              <w:t xml:space="preserve">446,250.00</w:t>
            </w:r>
          </w:p>
        </w:tc>
        <w:tc>
          <w:tcPr/>
          <w:p>
            <w:pPr>
              <w:pStyle w:val="Compact"/>
            </w:pPr>
          </w:p>
        </w:tc>
      </w:tr>
      <w:tr>
        <w:tc>
          <w:tcPr>
            <w:gridSpan w:val="4"/>
          </w:tcPr>
          <w:p>
            <w:pPr>
              <w:pStyle w:val="Compact"/>
              <w:jc w:val="left"/>
            </w:pPr>
            <w:r>
              <w:t xml:space="preserve">TOTAL AMOUNT (ARS)</w:t>
            </w:r>
          </w:p>
        </w:tc>
        <w:tc>
          <w:tcPr/>
          <w:p>
            <w:pPr>
              <w:pStyle w:val="Compact"/>
              <w:jc w:val="left"/>
            </w:pPr>
            <w:r>
              <w:t xml:space="preserve">2,571,250.00</w:t>
            </w:r>
          </w:p>
        </w:tc>
        <w:tc>
          <w:tcPr/>
          <w:p>
            <w:pPr>
              <w:pStyle w:val="Compact"/>
            </w:pPr>
          </w:p>
        </w:tc>
      </w:tr>
    </w:tbl>
    <w:p>
      <w:pPr>
        <w:pStyle w:val="BodyText"/>
      </w:pPr>
      <w:r>
        <w:t xml:space="preserve">All prices are expressed in Argentine Pesos (ARS) and are subject to the exchange rate and tax regulations in force in Argentina Buenos Aires at the time of invoicing. This Quotation Estimate does not include the cost of third-party hardware, components, or materials, which will be quoted separately upon client approval of the design phase.</w:t>
      </w:r>
    </w:p>
    <w:bookmarkEnd w:id="23"/>
    <w:bookmarkStart w:id="24"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(ARS 771,375.00) upon signing of the service contract and acceptance of this Quotation Estimate.</w:t>
      </w:r>
    </w:p>
    <w:p>
      <w:pPr>
        <w:numPr>
          <w:ilvl w:val="0"/>
          <w:numId w:val="1001"/>
        </w:numPr>
        <w:pStyle w:val="Compact"/>
      </w:pPr>
      <w:r>
        <w:rPr>
          <w:bCs/>
          <w:b/>
        </w:rPr>
        <w:t xml:space="preserve">40% milestone payment</w:t>
      </w:r>
      <w:r>
        <w:t xml:space="preserve"> </w:t>
      </w:r>
      <w:r>
        <w:t xml:space="preserve">(ARS 1,028,500.00) upon completion and client sign-off of the design and programming phases (Items 2, 3, and 4).</w:t>
      </w:r>
    </w:p>
    <w:p>
      <w:pPr>
        <w:numPr>
          <w:ilvl w:val="0"/>
          <w:numId w:val="1001"/>
        </w:numPr>
        <w:pStyle w:val="Compact"/>
      </w:pPr>
      <w:r>
        <w:rPr>
          <w:bCs/>
          <w:b/>
        </w:rPr>
        <w:t xml:space="preserve">30% final payment</w:t>
      </w:r>
      <w:r>
        <w:t xml:space="preserve"> </w:t>
      </w:r>
      <w:r>
        <w:t xml:space="preserve">(ARS 771,375.00) upon successful commissioning, delivery of documentation, and completion of operator training (Items 5, 6, and 7).</w:t>
      </w:r>
    </w:p>
    <w:p>
      <w:pPr>
        <w:numPr>
          <w:ilvl w:val="0"/>
          <w:numId w:val="1001"/>
        </w:numPr>
        <w:pStyle w:val="Compact"/>
      </w:pPr>
      <w:r>
        <w:t xml:space="preserve">Payments shall be made via bank transfer (transferencia bancaria) to the account of TecnoMecánica S.A. at Banco de la Nación Argentina, Sucursal Buenos Aires, CBU: 0110001000000000000001, within fifteen (15) calendar days of invoice issuance.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expiration date, prices may be adjusted to reflect changes in the Argentine economic environment, including inflation indexation per the Índice de Precios al Consumidor (IPC) published by INDEC.</w:t>
      </w:r>
    </w:p>
    <w:p>
      <w:pPr>
        <w:numPr>
          <w:ilvl w:val="0"/>
          <w:numId w:val="1002"/>
        </w:numPr>
        <w:pStyle w:val="Compact"/>
      </w:pPr>
      <w:r>
        <w:t xml:space="preserve">The Mechatronics Engineer services described herein are professional intellectual services. All designs, code, and documentation produced under this engagement shall become the exclusive property of the client upon full payment.</w:t>
      </w:r>
    </w:p>
    <w:p>
      <w:pPr>
        <w:numPr>
          <w:ilvl w:val="0"/>
          <w:numId w:val="1002"/>
        </w:numPr>
        <w:pStyle w:val="Compact"/>
      </w:pPr>
      <w:r>
        <w:t xml:space="preserve">The project timeline of approximately 58 business days (excluding the 90-day warranty period) is contingent upon timely client approvals, availability of the site in Argentina Buenos Aires, and prompt delivery of any third-party components.</w:t>
      </w:r>
    </w:p>
    <w:p>
      <w:pPr>
        <w:numPr>
          <w:ilvl w:val="0"/>
          <w:numId w:val="1002"/>
        </w:numPr>
        <w:pStyle w:val="Compact"/>
      </w:pPr>
      <w:r>
        <w:t xml:space="preserve">TecnoMecánica S.A. shall maintain professional liability insurance and comply with all labor and safety regulations applicable in the Province of Buenos Aires and the Autonomous City of Buenos Aires.</w:t>
      </w:r>
    </w:p>
    <w:p>
      <w:pPr>
        <w:numPr>
          <w:ilvl w:val="0"/>
          <w:numId w:val="1002"/>
        </w:numPr>
        <w:pStyle w:val="Compact"/>
      </w:pPr>
      <w:r>
        <w:t xml:space="preserve">Any changes to the scope of work beyond the parameters described in this Quotation Estimate shall be subject to a formal change order and additional cost assessment by the Mechatronics Engineer prior to execution.</w:t>
      </w:r>
    </w:p>
    <w:p>
      <w:pPr>
        <w:numPr>
          <w:ilvl w:val="0"/>
          <w:numId w:val="1002"/>
        </w:numPr>
        <w:pStyle w:val="Compact"/>
      </w:pPr>
      <w:r>
        <w:t xml:space="preserve">This Quotation Estimate is governed by the Civil and Commercial Code of the Nation of Argentina (Código Civil y Comercial de la Nación) and any disputes shall be resolved in the competent courts of the city of Buenos Aires.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TecnoMecánica S.A. to proceed with the Mechatronics Engineer services as described herein, under the terms and conditions stated in this document.</w:t>
      </w:r>
    </w:p>
    <w:p>
      <w:pPr>
        <w:pStyle w:val="BodyText"/>
      </w:pPr>
      <w:r>
        <w:rPr>
          <w:bCs/>
          <w:b/>
        </w:rPr>
        <w:t xml:space="preserve">TecnoMecánica S.A.</w:t>
      </w:r>
      <w:r>
        <w:br/>
      </w:r>
      <w:r>
        <w:t xml:space="preserve">Ing. Roberto Fernández – Director Técnico</w:t>
      </w:r>
      <w:r>
        <w:br/>
      </w:r>
      <w:r>
        <w:t xml:space="preserve">Mechatronics Engineer, M.P. 12345/BA</w:t>
      </w:r>
      <w:r>
        <w:br/>
      </w:r>
      <w:r>
        <w:t xml:space="preserve">Date: _______________</w:t>
      </w:r>
    </w:p>
    <w:p>
      <w:pPr>
        <w:pStyle w:val="BodyText"/>
      </w:pPr>
      <w:r>
        <w:rPr>
          <w:bCs/>
          <w:b/>
        </w:rPr>
        <w:t xml:space="preserve">Industrial Automation Solutions SRL</w:t>
      </w:r>
      <w:r>
        <w:br/>
      </w:r>
      <w:r>
        <w:t xml:space="preserve">Ing. María González – Gerente de Operaciones</w:t>
      </w:r>
      <w:r>
        <w:br/>
      </w:r>
      <w:r>
        <w:t xml:space="preserve">Date: _______________</w:t>
      </w:r>
    </w:p>
    <w:p>
      <w:pPr>
        <w:pStyle w:val="BodyText"/>
      </w:pPr>
      <w:r>
        <w:t xml:space="preserve">This Quotation Estimate was prepared by TecnoMecánica S.A. for use in Argentina Buenos Aires. Document QE-2025-0487. Page 1 of 1.</w:t>
      </w:r>
    </w:p>
    <w:p>
      <w:pPr>
        <w:pStyle w:val="BodyText"/>
      </w:pPr>
      <w:r>
        <w:t xml:space="preserve">© 2025 TecnoMecánica S.A. – All rights reserved.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Argentina Buenos Aires</dc:title>
  <dc:creator/>
  <dc:language>en</dc:language>
  <cp:keywords/>
  <dcterms:created xsi:type="dcterms:W3CDTF">2026-10-10T02:16:41Z</dcterms:created>
  <dcterms:modified xsi:type="dcterms:W3CDTF">2026-10-10T02:16:41Z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