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rPr>
          <w:bCs/>
          <w:b/>
        </w:rPr>
        <w:t xml:space="preserve">Alexandria Mechatronics Solutions Ltd.</w:t>
      </w:r>
    </w:p>
    <w:p>
      <w:pPr>
        <w:pStyle w:val="BodyText"/>
      </w:pPr>
      <w:r>
        <w:t xml:space="preserve">142 Corniche El-Nil Street, Smouha District, Egypt Alexandria, 21543</w:t>
      </w:r>
    </w:p>
    <w:p>
      <w:pPr>
        <w:pStyle w:val="BodyText"/>
      </w:pPr>
      <w:r>
        <w:t xml:space="preserve">Tel: +20 3 485 6721 | Email: quotes@alexmechatronics.com.eg</w:t>
      </w:r>
    </w:p>
    <w:p>
      <w:pPr>
        <w:pStyle w:val="BodyText"/>
      </w:pPr>
      <w:r>
        <w:t xml:space="preserve">Commercial Registration No. 884210 | Tax ID: 521-448-773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QTE-2025-EG-0472</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Prepared For</w:t>
            </w:r>
          </w:p>
        </w:tc>
        <w:tc>
          <w:tcPr/>
          <w:p>
            <w:pPr>
              <w:pStyle w:val="Compact"/>
              <w:jc w:val="left"/>
            </w:pPr>
            <w:r>
              <w:t xml:space="preserve">Client Name / Company</w:t>
            </w:r>
          </w:p>
        </w:tc>
        <w:tc>
          <w:tcPr/>
          <w:p>
            <w:pPr>
              <w:pStyle w:val="Compact"/>
              <w:jc w:val="left"/>
            </w:pPr>
            <w:r>
              <w:t xml:space="preserve">Project Location</w:t>
            </w:r>
          </w:p>
        </w:tc>
        <w:tc>
          <w:tcPr/>
          <w:p>
            <w:pPr>
              <w:pStyle w:val="Compact"/>
              <w:jc w:val="left"/>
            </w:pPr>
            <w:r>
              <w:t xml:space="preserve">Industrial Zone, Egypt Alexandria</w:t>
            </w:r>
          </w:p>
        </w:tc>
      </w:tr>
      <w:tr>
        <w:tc>
          <w:tcPr/>
          <w:p>
            <w:pPr>
              <w:pStyle w:val="Compact"/>
              <w:jc w:val="left"/>
            </w:pPr>
            <w:r>
              <w:t xml:space="preserve">Prepared By</w:t>
            </w:r>
          </w:p>
        </w:tc>
        <w:tc>
          <w:tcPr/>
          <w:p>
            <w:pPr>
              <w:pStyle w:val="Compact"/>
              <w:jc w:val="left"/>
            </w:pPr>
            <w:r>
              <w:t xml:space="preserve">Eng. Mohamed El-Sayed, Lead Mechatronics Engineer</w:t>
            </w:r>
          </w:p>
        </w:tc>
        <w:tc>
          <w:tcPr/>
          <w:p>
            <w:pPr>
              <w:pStyle w:val="Compact"/>
              <w:jc w:val="left"/>
            </w:pPr>
            <w:r>
              <w:t xml:space="preserve">Reference</w:t>
            </w:r>
          </w:p>
        </w:tc>
        <w:tc>
          <w:tcPr/>
          <w:p>
            <w:pPr>
              <w:pStyle w:val="Compact"/>
              <w:jc w:val="left"/>
            </w:pPr>
            <w:r>
              <w:t xml:space="preserve">RFQ-2025-0318</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Alexandria Mechatronics Solutions Ltd. to provide a comprehensive and itemized financial breakdown for the engagement of a senior</w:t>
      </w:r>
      <w:r>
        <w:t xml:space="preserve"> </w:t>
      </w:r>
      <w:r>
        <w:t xml:space="preserve">Mechatronics Engineer</w:t>
      </w:r>
      <w:r>
        <w:t xml:space="preserve"> </w:t>
      </w:r>
      <w:r>
        <w:t xml:space="preserve">to deliver integrated design, development, testing, and commissioning services for an automated production line located in the industrial sector of</w:t>
      </w:r>
      <w:r>
        <w:t xml:space="preserve"> </w:t>
      </w:r>
      <w:r>
        <w:t xml:space="preserve">Egypt Alexandria</w:t>
      </w:r>
      <w:r>
        <w:t xml:space="preserve">. This document serves as the definitive pricing reference for all professional services, materials, and technical support outlined herein. The</w:t>
      </w:r>
      <w:r>
        <w:t xml:space="preserve"> </w:t>
      </w:r>
      <w:r>
        <w:t xml:space="preserve">Quotation Estimate</w:t>
      </w:r>
      <w:r>
        <w:t xml:space="preserve"> </w:t>
      </w:r>
      <w:r>
        <w:t xml:space="preserve">reflects current market rates applicable to the</w:t>
      </w:r>
      <w:r>
        <w:t xml:space="preserve"> </w:t>
      </w:r>
      <w:r>
        <w:t xml:space="preserve">Egypt Alexandria</w:t>
      </w:r>
      <w:r>
        <w:t xml:space="preserve"> </w:t>
      </w:r>
      <w:r>
        <w:t xml:space="preserve">engineering services sector as of the date of issue and is subject to the terms and conditions stated in Section 7.</w:t>
      </w:r>
    </w:p>
    <w:bookmarkEnd w:id="21"/>
    <w:bookmarkStart w:id="22" w:name="Xdcb4bddaea805184c7220f300cce6db97445b1a"/>
    <w:p>
      <w:pPr>
        <w:pStyle w:val="Heading2"/>
      </w:pPr>
      <w:r>
        <w:t xml:space="preserve">2. Scope of Services – Mechatronics Engineer Engagement</w:t>
      </w:r>
    </w:p>
    <w:p>
      <w:pPr>
        <w:pStyle w:val="FirstParagraph"/>
      </w:pPr>
      <w:r>
        <w:t xml:space="preserve">The</w:t>
      </w:r>
      <w:r>
        <w:t xml:space="preserve"> </w:t>
      </w:r>
      <w:r>
        <w:t xml:space="preserve">Mechatronics Engineer</w:t>
      </w:r>
      <w:r>
        <w:t xml:space="preserve"> </w:t>
      </w:r>
      <w:r>
        <w:t xml:space="preserve">assigned to this project will hold a minimum of ten (10) years of progressive experience in mechatronic system design, PLC programming, industrial robotics integration, and embedded control systems. The scope of work for this</w:t>
      </w:r>
      <w:r>
        <w:t xml:space="preserve"> </w:t>
      </w:r>
      <w:r>
        <w:t xml:space="preserve">Quotation Estimate</w:t>
      </w:r>
      <w:r>
        <w:t xml:space="preserve"> </w:t>
      </w:r>
      <w:r>
        <w:t xml:space="preserve">encompasses the following deliverables:</w:t>
      </w:r>
    </w:p>
    <w:p>
      <w:pPr>
        <w:numPr>
          <w:ilvl w:val="0"/>
          <w:numId w:val="1001"/>
        </w:numPr>
        <w:pStyle w:val="Compact"/>
      </w:pPr>
      <w:r>
        <w:rPr>
          <w:bCs/>
          <w:b/>
        </w:rPr>
        <w:t xml:space="preserve">System Architecture &amp; Design:</w:t>
      </w:r>
      <w:r>
        <w:t xml:space="preserve"> </w:t>
      </w:r>
      <w:r>
        <w:t xml:space="preserve">Full conceptual and detailed design of the mechatronic control system, including electrical schematics, pneumatic/hydraulic circuit diagrams, and mechanical interface drawings, tailored to the operational requirements of the client's facility in</w:t>
      </w:r>
      <w:r>
        <w:t xml:space="preserve"> </w:t>
      </w:r>
      <w:r>
        <w:t xml:space="preserve">Egypt Alexandria</w:t>
      </w:r>
      <w:r>
        <w:t xml:space="preserve">.</w:t>
      </w:r>
    </w:p>
    <w:p>
      <w:pPr>
        <w:numPr>
          <w:ilvl w:val="0"/>
          <w:numId w:val="1001"/>
        </w:numPr>
        <w:pStyle w:val="Compact"/>
      </w:pPr>
      <w:r>
        <w:rPr>
          <w:bCs/>
          <w:b/>
        </w:rPr>
        <w:t xml:space="preserve">PLC &amp; HMI Programming:</w:t>
      </w:r>
      <w:r>
        <w:t xml:space="preserve"> </w:t>
      </w:r>
      <w:r>
        <w:t xml:space="preserve">Development and implementation of Siemens S7-1500 PLC logic, SCADA/HMI interfaces, and communication protocols (PROFINET, Modbus TCP) for seamless integration with existing plant infrastructure.</w:t>
      </w:r>
    </w:p>
    <w:p>
      <w:pPr>
        <w:numPr>
          <w:ilvl w:val="0"/>
          <w:numId w:val="1001"/>
        </w:numPr>
        <w:pStyle w:val="Compact"/>
      </w:pPr>
      <w:r>
        <w:rPr>
          <w:bCs/>
          <w:b/>
        </w:rPr>
        <w:t xml:space="preserve">Industrial Robotics Integration:</w:t>
      </w:r>
      <w:r>
        <w:t xml:space="preserve"> </w:t>
      </w:r>
      <w:r>
        <w:t xml:space="preserve">Programming, calibration, and safety interlock configuration of up to four (4) six-axis robotic arms for pick-and-place and assembly operations.</w:t>
      </w:r>
    </w:p>
    <w:p>
      <w:pPr>
        <w:numPr>
          <w:ilvl w:val="0"/>
          <w:numId w:val="1001"/>
        </w:numPr>
        <w:pStyle w:val="Compact"/>
      </w:pPr>
      <w:r>
        <w:rPr>
          <w:bCs/>
          <w:b/>
        </w:rPr>
        <w:t xml:space="preserve">Sensor &amp; Actuator Selection:</w:t>
      </w:r>
      <w:r>
        <w:t xml:space="preserve"> </w:t>
      </w:r>
      <w:r>
        <w:t xml:space="preserve">Specification, procurement coordination, and installation of proximity sensors, encoders, servo drives, and pneumatic actuators compliant with IEC 61508 functional safety standards.</w:t>
      </w:r>
    </w:p>
    <w:p>
      <w:pPr>
        <w:numPr>
          <w:ilvl w:val="0"/>
          <w:numId w:val="1001"/>
        </w:numPr>
        <w:pStyle w:val="Compact"/>
      </w:pPr>
      <w:r>
        <w:rPr>
          <w:bCs/>
          <w:b/>
        </w:rPr>
        <w:t xml:space="preserve">Commissioning &amp; FAT/SAT:</w:t>
      </w:r>
      <w:r>
        <w:t xml:space="preserve"> </w:t>
      </w:r>
      <w:r>
        <w:t xml:space="preserve">Factory Acceptance Testing at the</w:t>
      </w:r>
      <w:r>
        <w:t xml:space="preserve"> </w:t>
      </w:r>
      <w:r>
        <w:t xml:space="preserve">Mechatronics Engineer</w:t>
      </w:r>
      <w:r>
        <w:t xml:space="preserve">'s workshop in Smouha,</w:t>
      </w:r>
      <w:r>
        <w:t xml:space="preserve"> </w:t>
      </w:r>
      <w:r>
        <w:t xml:space="preserve">Egypt Alexandria</w:t>
      </w:r>
      <w:r>
        <w:t xml:space="preserve">, followed by Site Acceptance Testing at the client's production floor, including a minimum of 72-hour continuous operational validation.</w:t>
      </w:r>
    </w:p>
    <w:p>
      <w:pPr>
        <w:numPr>
          <w:ilvl w:val="0"/>
          <w:numId w:val="1001"/>
        </w:numPr>
        <w:pStyle w:val="Compact"/>
      </w:pPr>
      <w:r>
        <w:rPr>
          <w:bCs/>
          <w:b/>
        </w:rPr>
        <w:t xml:space="preserve">Documentation &amp; Training:</w:t>
      </w:r>
      <w:r>
        <w:t xml:space="preserve"> </w:t>
      </w:r>
      <w:r>
        <w:t xml:space="preserve">Delivery of as-built documentation, operation and maintenance manuals in both Arabic and English, and a two-day hands-on training session for the client's maintenance team.</w:t>
      </w:r>
    </w:p>
    <w:p>
      <w:pPr>
        <w:numPr>
          <w:ilvl w:val="0"/>
          <w:numId w:val="1001"/>
        </w:numPr>
        <w:pStyle w:val="Compact"/>
      </w:pPr>
      <w:r>
        <w:rPr>
          <w:bCs/>
          <w:b/>
        </w:rPr>
        <w:t xml:space="preserve">Post-Commissioning Support:</w:t>
      </w:r>
      <w:r>
        <w:t xml:space="preserve"> </w:t>
      </w:r>
      <w:r>
        <w:t xml:space="preserve">Ninety (90) days of remote and on-site technical support, including firmware updates, fault diagnosis, and performance optimization.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Mechatronics Engineer – Design &amp; Architecture (per day)</w:t>
            </w:r>
          </w:p>
        </w:tc>
        <w:tc>
          <w:tcPr/>
          <w:p>
            <w:pPr>
              <w:pStyle w:val="Compact"/>
              <w:jc w:val="left"/>
            </w:pPr>
            <w:r>
              <w:t xml:space="preserve">15 days</w:t>
            </w:r>
          </w:p>
        </w:tc>
        <w:tc>
          <w:tcPr/>
          <w:p>
            <w:pPr>
              <w:pStyle w:val="Compact"/>
              <w:jc w:val="left"/>
            </w:pPr>
            <w:r>
              <w:t xml:space="preserve">8,500</w:t>
            </w:r>
          </w:p>
        </w:tc>
        <w:tc>
          <w:tcPr/>
          <w:p>
            <w:pPr>
              <w:pStyle w:val="Compact"/>
              <w:jc w:val="left"/>
            </w:pPr>
            <w:r>
              <w:t xml:space="preserve">127,500</w:t>
            </w:r>
          </w:p>
        </w:tc>
      </w:tr>
      <w:tr>
        <w:tc>
          <w:tcPr/>
          <w:p>
            <w:pPr>
              <w:pStyle w:val="Compact"/>
              <w:jc w:val="left"/>
            </w:pPr>
            <w:r>
              <w:t xml:space="preserve">2</w:t>
            </w:r>
          </w:p>
        </w:tc>
        <w:tc>
          <w:tcPr/>
          <w:p>
            <w:pPr>
              <w:pStyle w:val="Compact"/>
              <w:jc w:val="left"/>
            </w:pPr>
            <w:r>
              <w:t xml:space="preserve">PLC &amp; HMI Programming &amp; Configuration (per day)</w:t>
            </w:r>
          </w:p>
        </w:tc>
        <w:tc>
          <w:tcPr/>
          <w:p>
            <w:pPr>
              <w:pStyle w:val="Compact"/>
              <w:jc w:val="left"/>
            </w:pPr>
            <w:r>
              <w:t xml:space="preserve">20 days</w:t>
            </w:r>
          </w:p>
        </w:tc>
        <w:tc>
          <w:tcPr/>
          <w:p>
            <w:pPr>
              <w:pStyle w:val="Compact"/>
              <w:jc w:val="left"/>
            </w:pPr>
            <w:r>
              <w:t xml:space="preserve">9,200</w:t>
            </w:r>
          </w:p>
        </w:tc>
        <w:tc>
          <w:tcPr/>
          <w:p>
            <w:pPr>
              <w:pStyle w:val="Compact"/>
              <w:jc w:val="left"/>
            </w:pPr>
            <w:r>
              <w:t xml:space="preserve">184,000</w:t>
            </w:r>
          </w:p>
        </w:tc>
      </w:tr>
      <w:tr>
        <w:tc>
          <w:tcPr/>
          <w:p>
            <w:pPr>
              <w:pStyle w:val="Compact"/>
              <w:jc w:val="left"/>
            </w:pPr>
            <w:r>
              <w:t xml:space="preserve">3</w:t>
            </w:r>
          </w:p>
        </w:tc>
        <w:tc>
          <w:tcPr/>
          <w:p>
            <w:pPr>
              <w:pStyle w:val="Compact"/>
              <w:jc w:val="left"/>
            </w:pPr>
            <w:r>
              <w:t xml:space="preserve">Industrial Robotics Integration &amp; Calibration (per robot)</w:t>
            </w:r>
          </w:p>
        </w:tc>
        <w:tc>
          <w:tcPr/>
          <w:p>
            <w:pPr>
              <w:pStyle w:val="Compact"/>
              <w:jc w:val="left"/>
            </w:pPr>
            <w:r>
              <w:t xml:space="preserve">4 units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Sensor, Actuator &amp; Drive Procurement &amp; Installation</w:t>
            </w:r>
          </w:p>
        </w:tc>
        <w:tc>
          <w:tcPr/>
          <w:p>
            <w:pPr>
              <w:pStyle w:val="Compact"/>
              <w:jc w:val="left"/>
            </w:pPr>
            <w:r>
              <w:t xml:space="preserve">1 lot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Commissioning, FAT &amp; SAT (per day)</w:t>
            </w:r>
          </w:p>
        </w:tc>
        <w:tc>
          <w:tcPr/>
          <w:p>
            <w:pPr>
              <w:pStyle w:val="Compact"/>
              <w:jc w:val="left"/>
            </w:pPr>
            <w:r>
              <w:t xml:space="preserve">10 days</w:t>
            </w:r>
          </w:p>
        </w:tc>
        <w:tc>
          <w:tcPr/>
          <w:p>
            <w:pPr>
              <w:pStyle w:val="Compact"/>
              <w:jc w:val="left"/>
            </w:pPr>
            <w:r>
              <w:t xml:space="preserve">7,800</w:t>
            </w:r>
          </w:p>
        </w:tc>
        <w:tc>
          <w:tcPr/>
          <w:p>
            <w:pPr>
              <w:pStyle w:val="Compact"/>
              <w:jc w:val="left"/>
            </w:pPr>
            <w:r>
              <w:t xml:space="preserve">78,000</w:t>
            </w:r>
          </w:p>
        </w:tc>
      </w:tr>
      <w:tr>
        <w:tc>
          <w:tcPr/>
          <w:p>
            <w:pPr>
              <w:pStyle w:val="Compact"/>
              <w:jc w:val="left"/>
            </w:pPr>
            <w:r>
              <w:t xml:space="preserve">6</w:t>
            </w:r>
          </w:p>
        </w:tc>
        <w:tc>
          <w:tcPr/>
          <w:p>
            <w:pPr>
              <w:pStyle w:val="Compact"/>
              <w:jc w:val="left"/>
            </w:pPr>
            <w:r>
              <w:t xml:space="preserve">Technical Documentation &amp; Bilingual Manuals</w:t>
            </w:r>
          </w:p>
        </w:tc>
        <w:tc>
          <w:tcPr/>
          <w:p>
            <w:pPr>
              <w:pStyle w:val="Compact"/>
              <w:jc w:val="left"/>
            </w:pPr>
            <w:r>
              <w:t xml:space="preserve">1 set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On-Site Training for Client Maintenance Team (2 days)</w:t>
            </w:r>
          </w:p>
        </w:tc>
        <w:tc>
          <w:tcPr/>
          <w:p>
            <w:pPr>
              <w:pStyle w:val="Compact"/>
              <w:jc w:val="left"/>
            </w:pPr>
            <w:r>
              <w:t xml:space="preserve">2 days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8</w:t>
            </w:r>
          </w:p>
        </w:tc>
        <w:tc>
          <w:tcPr/>
          <w:p>
            <w:pPr>
              <w:pStyle w:val="Compact"/>
              <w:jc w:val="left"/>
            </w:pPr>
            <w:r>
              <w:t xml:space="preserve">Post-Commissioning Support – 90 Days (remote &amp; on-site)</w:t>
            </w:r>
          </w:p>
        </w:tc>
        <w:tc>
          <w:tcPr/>
          <w:p>
            <w:pPr>
              <w:pStyle w:val="Compact"/>
              <w:jc w:val="left"/>
            </w:pPr>
            <w:r>
              <w:t xml:space="preserve">1 period</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Travel, Accommodation &amp; Local Logistics within Egypt Alexandria</w:t>
            </w:r>
          </w:p>
        </w:tc>
        <w:tc>
          <w:tcPr/>
          <w:p>
            <w:pPr>
              <w:pStyle w:val="Compact"/>
              <w:jc w:val="left"/>
            </w:pPr>
            <w:r>
              <w:t xml:space="preserve">1 lot</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right"/>
            </w:pPr>
            <w:r>
              <w:t xml:space="preserve">Subtotal</w:t>
            </w:r>
          </w:p>
        </w:tc>
        <w:tc>
          <w:tcPr/>
          <w:p>
            <w:pPr>
              <w:pStyle w:val="Compact"/>
              <w:jc w:val="left"/>
            </w:pPr>
            <w:r>
              <w:t xml:space="preserve">917,500</w:t>
            </w:r>
          </w:p>
        </w:tc>
      </w:tr>
      <w:tr>
        <w:tc>
          <w:tcPr>
            <w:gridSpan w:val="4"/>
          </w:tcPr>
          <w:p>
            <w:pPr>
              <w:pStyle w:val="Compact"/>
              <w:jc w:val="right"/>
            </w:pPr>
            <w:r>
              <w:t xml:space="preserve">VAT (14% – Egyptian Tax Authority)</w:t>
            </w:r>
          </w:p>
        </w:tc>
        <w:tc>
          <w:tcPr/>
          <w:p>
            <w:pPr>
              <w:pStyle w:val="Compact"/>
              <w:jc w:val="left"/>
            </w:pPr>
            <w:r>
              <w:t xml:space="preserve">128,450</w:t>
            </w:r>
          </w:p>
        </w:tc>
      </w:tr>
      <w:tr>
        <w:tc>
          <w:tcPr>
            <w:gridSpan w:val="4"/>
          </w:tcPr>
          <w:p>
            <w:pPr>
              <w:pStyle w:val="Compact"/>
              <w:jc w:val="right"/>
            </w:pPr>
            <w:r>
              <w:t xml:space="preserve">Grand Total (EGP)</w:t>
            </w:r>
          </w:p>
        </w:tc>
        <w:tc>
          <w:tcPr/>
          <w:p>
            <w:pPr>
              <w:pStyle w:val="Compact"/>
              <w:jc w:val="left"/>
            </w:pPr>
            <w:r>
              <w:t xml:space="preserve">1,045,950</w:t>
            </w:r>
          </w:p>
        </w:tc>
      </w:tr>
    </w:tbl>
    <w:p>
      <w:pPr>
        <w:pStyle w:val="BodyText"/>
      </w:pPr>
      <w:r>
        <w:rPr>
          <w:bCs/>
          <w:b/>
        </w:rPr>
        <w:t xml:space="preserve">Note:</w:t>
      </w:r>
      <w:r>
        <w:t xml:space="preserve"> </w:t>
      </w:r>
      <w:r>
        <w:t xml:space="preserve">All prices in this</w:t>
      </w:r>
      <w:r>
        <w:t xml:space="preserve"> </w:t>
      </w:r>
      <w:r>
        <w:t xml:space="preserve">Quotation Estimate</w:t>
      </w:r>
      <w:r>
        <w:t xml:space="preserve"> </w:t>
      </w:r>
      <w:r>
        <w:t xml:space="preserve">are quoted in Egyptian Pounds (EGP) and are inclusive of all applicable local taxes as mandated by the Egyptian Tax Authority. International shipping costs for imported components, if any, are excluded and will be billed at actual cost with a 5% handling surcharge. This</w:t>
      </w:r>
      <w:r>
        <w:t xml:space="preserve"> </w:t>
      </w:r>
      <w:r>
        <w:t xml:space="preserve">Quotation Estimate</w:t>
      </w:r>
      <w:r>
        <w:t xml:space="preserve"> </w:t>
      </w:r>
      <w:r>
        <w:t xml:space="preserve">is valid for thirty (30) days from the date of issue, after which rates may be revised to reflect market fluctuations in the</w:t>
      </w:r>
      <w:r>
        <w:t xml:space="preserve"> </w:t>
      </w:r>
      <w:r>
        <w:t xml:space="preserve">Egypt Alexandria</w:t>
      </w:r>
      <w:r>
        <w:t xml:space="preserve"> </w:t>
      </w:r>
      <w:r>
        <w:t xml:space="preserve">industrial services sector.</w:t>
      </w:r>
    </w:p>
    <w:bookmarkEnd w:id="23"/>
    <w:bookmarkStart w:id="24" w:name="project-timeline"/>
    <w:p>
      <w:pPr>
        <w:pStyle w:val="Heading2"/>
      </w:pPr>
      <w:r>
        <w:t xml:space="preserve">4. Project Timeline</w:t>
      </w:r>
    </w:p>
    <w:p>
      <w:pPr>
        <w:pStyle w:val="FirstParagraph"/>
      </w:pPr>
      <w:r>
        <w:t xml:space="preserve">The</w:t>
      </w:r>
      <w:r>
        <w:t xml:space="preserve"> </w:t>
      </w:r>
      <w:r>
        <w:t xml:space="preserve">Mechatronics Engineer</w:t>
      </w:r>
      <w:r>
        <w:t xml:space="preserve"> </w:t>
      </w:r>
      <w:r>
        <w:t xml:space="preserve">and supporting technical team estimate a total project duration of approximately</w:t>
      </w:r>
      <w:r>
        <w:t xml:space="preserve"> </w:t>
      </w:r>
      <w:r>
        <w:rPr>
          <w:bCs/>
          <w:b/>
        </w:rPr>
        <w:t xml:space="preserve">twelve (12) weeks</w:t>
      </w:r>
      <w:r>
        <w:t xml:space="preserve"> </w:t>
      </w:r>
      <w:r>
        <w:t xml:space="preserve">from the date of contract execution. The schedule will be finalized in a detailed Gantt chart during the kickoff meeting, which shall be held within five (5) business days of contract signing at the client's premises in</w:t>
      </w:r>
      <w:r>
        <w:t xml:space="preserve"> </w:t>
      </w:r>
      <w:r>
        <w:t xml:space="preserve">Egypt Alexandria</w:t>
      </w:r>
      <w:r>
        <w:t xml:space="preserve">.</w:t>
      </w:r>
    </w:p>
    <w:bookmarkEnd w:id="24"/>
    <w:bookmarkStart w:id="25" w:name="payment-terms"/>
    <w:p>
      <w:pPr>
        <w:pStyle w:val="Heading2"/>
      </w:pPr>
      <w:r>
        <w:t xml:space="preserve">5. Payment Terms</w:t>
      </w:r>
    </w:p>
    <w:p>
      <w:pPr>
        <w:numPr>
          <w:ilvl w:val="0"/>
          <w:numId w:val="1002"/>
        </w:numPr>
        <w:pStyle w:val="Compact"/>
      </w:pPr>
      <w:r>
        <w:rPr>
          <w:bCs/>
          <w:b/>
        </w:rPr>
        <w:t xml:space="preserve">30%</w:t>
      </w:r>
      <w:r>
        <w:t xml:space="preserve"> </w:t>
      </w:r>
      <w:r>
        <w:t xml:space="preserve">advance payment upon signing of the service agreement (EGP 313,785).</w:t>
      </w:r>
    </w:p>
    <w:p>
      <w:pPr>
        <w:numPr>
          <w:ilvl w:val="0"/>
          <w:numId w:val="1002"/>
        </w:numPr>
        <w:pStyle w:val="Compact"/>
      </w:pPr>
      <w:r>
        <w:rPr>
          <w:bCs/>
          <w:b/>
        </w:rPr>
        <w:t xml:space="preserve">40%</w:t>
      </w:r>
      <w:r>
        <w:t xml:space="preserve"> </w:t>
      </w:r>
      <w:r>
        <w:t xml:space="preserve">upon successful completion of Factory Acceptance Testing (FAT) (EGP 418,380).</w:t>
      </w:r>
    </w:p>
    <w:p>
      <w:pPr>
        <w:numPr>
          <w:ilvl w:val="0"/>
          <w:numId w:val="1002"/>
        </w:numPr>
        <w:pStyle w:val="Compact"/>
      </w:pPr>
      <w:r>
        <w:rPr>
          <w:bCs/>
          <w:b/>
        </w:rPr>
        <w:t xml:space="preserve">20%</w:t>
      </w:r>
      <w:r>
        <w:t xml:space="preserve"> </w:t>
      </w:r>
      <w:r>
        <w:t xml:space="preserve">upon successful Site Acceptance Testing (SAT) and handover (EGP 209,190).</w:t>
      </w:r>
    </w:p>
    <w:p>
      <w:pPr>
        <w:numPr>
          <w:ilvl w:val="0"/>
          <w:numId w:val="1002"/>
        </w:numPr>
        <w:pStyle w:val="Compact"/>
      </w:pPr>
      <w:r>
        <w:rPr>
          <w:bCs/>
          <w:b/>
        </w:rPr>
        <w:t xml:space="preserve">10%</w:t>
      </w:r>
      <w:r>
        <w:t xml:space="preserve"> </w:t>
      </w:r>
      <w:r>
        <w:t xml:space="preserve">upon expiry of the 90-day post-commissioning support period (EGP 104,595).</w:t>
      </w:r>
    </w:p>
    <w:p>
      <w:pPr>
        <w:pStyle w:val="FirstParagraph"/>
      </w:pPr>
      <w:r>
        <w:t xml:space="preserve">All payments shall be made via bank transfer to the account of Alexandria Mechatronics Solutions Ltd. at CIB, Smouha Branch,</w:t>
      </w:r>
      <w:r>
        <w:t xml:space="preserve"> </w:t>
      </w:r>
      <w:r>
        <w:t xml:space="preserve">Egypt Alexandria</w:t>
      </w:r>
      <w:r>
        <w:t xml:space="preserve">. Invoices will be issued in accordance with Egyptian commercial law and will include the applicable VAT invoice number.</w:t>
      </w:r>
    </w:p>
    <w:bookmarkEnd w:id="25"/>
    <w:bookmarkStart w:id="26" w:name="assumptions-and-exclusions"/>
    <w:p>
      <w:pPr>
        <w:pStyle w:val="Heading2"/>
      </w:pPr>
      <w:r>
        <w:t xml:space="preserve">6. Assumptions and Exclusions</w:t>
      </w:r>
    </w:p>
    <w:p>
      <w:pPr>
        <w:numPr>
          <w:ilvl w:val="0"/>
          <w:numId w:val="1003"/>
        </w:numPr>
        <w:pStyle w:val="Compact"/>
      </w:pPr>
      <w:r>
        <w:t xml:space="preserve">This</w:t>
      </w:r>
      <w:r>
        <w:t xml:space="preserve"> </w:t>
      </w:r>
      <w:r>
        <w:t xml:space="preserve">Quotation Estimate</w:t>
      </w:r>
      <w:r>
        <w:t xml:space="preserve"> </w:t>
      </w:r>
      <w:r>
        <w:t xml:space="preserve">assumes that the client will provide a dedicated, electrically safe workspace with three-phase power (400V/50Hz) and compressed air supply at the project site in</w:t>
      </w:r>
      <w:r>
        <w:t xml:space="preserve"> </w:t>
      </w:r>
      <w:r>
        <w:t xml:space="preserve">Egypt Alexandria</w:t>
      </w:r>
      <w:r>
        <w:t xml:space="preserve">.</w:t>
      </w:r>
    </w:p>
    <w:p>
      <w:pPr>
        <w:numPr>
          <w:ilvl w:val="0"/>
          <w:numId w:val="1003"/>
        </w:numPr>
        <w:pStyle w:val="Compact"/>
      </w:pPr>
      <w:r>
        <w:t xml:space="preserve">Structural civil works, building modifications, and utility upgrades are excluded from this estimate.</w:t>
      </w:r>
    </w:p>
    <w:p>
      <w:pPr>
        <w:numPr>
          <w:ilvl w:val="0"/>
          <w:numId w:val="1003"/>
        </w:numPr>
        <w:pStyle w:val="Compact"/>
      </w:pPr>
      <w:r>
        <w:t xml:space="preserve">Any scope change exceeding 10% of the original work order will require a revised</w:t>
      </w:r>
      <w:r>
        <w:t xml:space="preserve"> </w:t>
      </w:r>
      <w:r>
        <w:t xml:space="preserve">Quotation Estimate</w:t>
      </w:r>
      <w:r>
        <w:t xml:space="preserve"> </w:t>
      </w:r>
      <w:r>
        <w:t xml:space="preserve">and mutual written approval before additional work commences.</w:t>
      </w:r>
    </w:p>
    <w:p>
      <w:pPr>
        <w:numPr>
          <w:ilvl w:val="0"/>
          <w:numId w:val="1003"/>
        </w:numPr>
        <w:pStyle w:val="Compact"/>
      </w:pPr>
      <w:r>
        <w:t xml:space="preserve">The</w:t>
      </w:r>
      <w:r>
        <w:t xml:space="preserve"> </w:t>
      </w:r>
      <w:r>
        <w:t xml:space="preserve">Mechatronics Engineer</w:t>
      </w:r>
      <w:r>
        <w:t xml:space="preserve"> </w:t>
      </w:r>
      <w:r>
        <w:t xml:space="preserve">is not responsible for third-party equipment failures unrelated to the mechatronic systems under this contract.</w:t>
      </w:r>
    </w:p>
    <w:bookmarkEnd w:id="26"/>
    <w:bookmarkStart w:id="27" w:name="terms-and-conditions"/>
    <w:p>
      <w:pPr>
        <w:pStyle w:val="Heading2"/>
      </w:pPr>
      <w:r>
        <w:t xml:space="preserve">7. Terms and Conditions</w:t>
      </w:r>
    </w:p>
    <w:p>
      <w:pPr>
        <w:numPr>
          <w:ilvl w:val="0"/>
          <w:numId w:val="1004"/>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4"/>
        </w:numPr>
        <w:pStyle w:val="Compact"/>
      </w:pPr>
      <w:r>
        <w:t xml:space="preserve">Intellectual property developed specifically for the client under this engagement shall transfer to the client upon full payment. General methodologies, libraries, and pre-existing IP remain the property of Alexandria Mechatronics Solutions Ltd.</w:t>
      </w:r>
    </w:p>
    <w:p>
      <w:pPr>
        <w:numPr>
          <w:ilvl w:val="0"/>
          <w:numId w:val="1004"/>
        </w:numPr>
        <w:pStyle w:val="Compact"/>
      </w:pPr>
      <w:r>
        <w:t xml:space="preserve">Confidentiality obligations as defined in the NDA (attached as Annex A) shall survive for a period of three (3) years post-project completion.</w:t>
      </w:r>
    </w:p>
    <w:p>
      <w:pPr>
        <w:numPr>
          <w:ilvl w:val="0"/>
          <w:numId w:val="1004"/>
        </w:numPr>
        <w:pStyle w:val="Compact"/>
      </w:pPr>
      <w:r>
        <w:t xml:space="preserve">Governing law: The laws of the Arab Republic of Egypt. Any disputes shall be resolved through arbitration in</w:t>
      </w:r>
      <w:r>
        <w:t xml:space="preserve"> </w:t>
      </w:r>
      <w:r>
        <w:t xml:space="preserve">Egypt Alexandria</w:t>
      </w:r>
      <w:r>
        <w:t xml:space="preserve"> </w:t>
      </w:r>
      <w:r>
        <w:t xml:space="preserve">in accordance with the Egyptian Arbitration Law No. 27 of 1994.</w:t>
      </w:r>
    </w:p>
    <w:p>
      <w:pPr>
        <w:numPr>
          <w:ilvl w:val="0"/>
          <w:numId w:val="1004"/>
        </w:numPr>
        <w:pStyle w:val="Compact"/>
      </w:pPr>
      <w:r>
        <w:t xml:space="preserve">Force majeure events, including but not limited to natural disasters, government-mandated shutdowns, or supply chain disruptions affecting the</w:t>
      </w:r>
      <w:r>
        <w:t xml:space="preserve"> </w:t>
      </w:r>
      <w:r>
        <w:t xml:space="preserve">Egypt Alexandria</w:t>
      </w:r>
      <w:r>
        <w:t xml:space="preserve"> </w:t>
      </w:r>
      <w:r>
        <w:t xml:space="preserve">region, shall extend the project timeline on a day-for-day basis without penalty to either party.</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the</w:t>
      </w:r>
      <w:r>
        <w:t xml:space="preserve"> </w:t>
      </w:r>
      <w:r>
        <w:t xml:space="preserve">Mechatronics Engineer</w:t>
      </w:r>
      <w:r>
        <w:t xml:space="preserve"> </w:t>
      </w:r>
      <w:r>
        <w:t xml:space="preserve">and associated services in</w:t>
      </w:r>
      <w:r>
        <w:t xml:space="preserve"> </w:t>
      </w:r>
      <w:r>
        <w:t xml:space="preserve">Egypt Alexandria</w:t>
      </w:r>
      <w:r>
        <w:t xml:space="preserve">.</w:t>
      </w:r>
    </w:p>
    <w:p>
      <w:pPr>
        <w:pStyle w:val="BodyText"/>
      </w:pPr>
      <w:r>
        <w:rPr>
          <w:bCs/>
          <w:b/>
        </w:rPr>
        <w:t xml:space="preserve">For: Alexandria Mechatronics Solutions Ltd.</w:t>
      </w:r>
    </w:p>
    <w:p>
      <w:pPr>
        <w:pStyle w:val="BodyText"/>
      </w:pPr>
      <w:r>
        <w:t xml:space="preserve">Name: Eng. Mohamed El-Sayed</w:t>
      </w:r>
      <w:r>
        <w:br/>
      </w:r>
      <w:r>
        <w:t xml:space="preserve">Title: Lead Mechatronics Engineer / Director</w:t>
      </w:r>
      <w:r>
        <w:br/>
      </w:r>
      <w:r>
        <w:t xml:space="preserve">Signature &amp; Company Stamp</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Company Stamp</w:t>
      </w:r>
      <w:r>
        <w:br/>
      </w:r>
      <w:r>
        <w:t xml:space="preserve">Date: _______________</w:t>
      </w:r>
    </w:p>
    <w:p>
      <w:pPr>
        <w:pStyle w:val="BodyText"/>
      </w:pPr>
      <w:r>
        <w:rPr>
          <w:bCs/>
          <w:b/>
        </w:rPr>
        <w:t xml:space="preserve">Alexandria Mechatronics Solutions Ltd.</w:t>
      </w:r>
      <w:r>
        <w:t xml:space="preserve"> </w:t>
      </w:r>
      <w:r>
        <w:t xml:space="preserve">| 142 Corniche El-Nil Street, Smouha, Egypt Alexandria 21543</w:t>
      </w:r>
    </w:p>
    <w:p>
      <w:pPr>
        <w:pStyle w:val="BodyText"/>
      </w:pPr>
      <w:r>
        <w:t xml:space="preserve">This Quotation Estimate (Ref: QTE-2025-EG-0472) is the property of Alexandria Mechatronics Solutions Ltd. and is intended solely for the named recipient. Unauthorized reproduction or distribution is prohibited.</w:t>
      </w:r>
    </w:p>
    <w:p>
      <w:pPr>
        <w:pStyle w:val="BodyText"/>
      </w:pPr>
      <w:r>
        <w:t xml:space="preserve">Page 1 of 1 | Generated: 12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Egypt Alexandria</dc:title>
  <dc:creator/>
  <dc:language>en</dc:language>
  <cp:keywords/>
  <dcterms:created xsi:type="dcterms:W3CDTF">2026-10-10T03:43:05Z</dcterms:created>
  <dcterms:modified xsi:type="dcterms:W3CDTF">2026-10-10T03:43:05Z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