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quotation-estimate"/>
    <w:p>
      <w:pPr>
        <w:pStyle w:val="Heading1"/>
      </w:pPr>
      <w:r>
        <w:t xml:space="preserve">Quotation Estimate</w:t>
      </w:r>
    </w:p>
    <w:p>
      <w:pPr>
        <w:pStyle w:val="FirstParagraph"/>
      </w:pPr>
      <w:r>
        <w:rPr>
          <w:bCs/>
          <w:b/>
        </w:rPr>
        <w:t xml:space="preserve">TechNova Engineering Solutions Ltd.</w:t>
      </w:r>
    </w:p>
    <w:p>
      <w:pPr>
        <w:pStyle w:val="BodyText"/>
      </w:pPr>
      <w:r>
        <w:t xml:space="preserve">Plot 14, Spintex Road, East Legon, Ghana Accra</w:t>
      </w:r>
    </w:p>
    <w:p>
      <w:pPr>
        <w:pStyle w:val="BodyText"/>
      </w:pPr>
      <w:r>
        <w:t xml:space="preserve">Tel: +233 (0) 30 274 5561 | Email: quotations@technova-gh.com</w:t>
      </w:r>
    </w:p>
    <w:p>
      <w:pPr>
        <w:pStyle w:val="BodyText"/>
      </w:pPr>
      <w:r>
        <w:t xml:space="preserve">RC Number: 20190784-5621 | TIN: 107845623</w:t>
      </w:r>
    </w:p>
    <w:p>
      <w:pPr>
        <w:pStyle w:val="BodyText"/>
      </w:pPr>
      <w:r>
        <w:t xml:space="preserve">Professional Engineering Services</w:t>
      </w:r>
    </w:p>
    <w:bookmarkEnd w:id="20"/>
    <w:p>
      <w:pPr>
        <w:pStyle w:val="BodyText"/>
      </w:pPr>
      <w:r>
        <w:rPr>
          <w:bCs/>
          <w:b/>
        </w:rPr>
        <w:t xml:space="preserve">Quotation No.:</w:t>
      </w:r>
      <w:r>
        <w:t xml:space="preserve"> </w:t>
      </w:r>
      <w:r>
        <w:t xml:space="preserve">TN/GE/2025/0047</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w:t>
      </w:r>
    </w:p>
    <w:p>
      <w:pPr>
        <w:pStyle w:val="BodyText"/>
      </w:pPr>
      <w:r>
        <w:rPr>
          <w:bCs/>
          <w:b/>
        </w:rPr>
        <w:t xml:space="preserve">Project Location:</w:t>
      </w:r>
      <w:r>
        <w:t xml:space="preserve"> </w:t>
      </w:r>
      <w:r>
        <w:t xml:space="preserve">Ghana Accra</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Accra Industrial Automation &amp; Manufacturing Co. Ltd.</w:t>
            </w:r>
          </w:p>
        </w:tc>
      </w:tr>
      <w:tr>
        <w:tc>
          <w:tcPr/>
          <w:p>
            <w:pPr>
              <w:pStyle w:val="Compact"/>
              <w:jc w:val="left"/>
            </w:pPr>
            <w:r>
              <w:rPr>
                <w:bCs/>
                <w:b/>
              </w:rPr>
              <w:t xml:space="preserve">Address:</w:t>
            </w:r>
          </w:p>
        </w:tc>
        <w:tc>
          <w:tcPr/>
          <w:p>
            <w:pPr>
              <w:pStyle w:val="Compact"/>
              <w:jc w:val="left"/>
            </w:pPr>
            <w:r>
              <w:t xml:space="preserve">Industrial Area, Tema, Ghana Accra Region</w:t>
            </w:r>
          </w:p>
        </w:tc>
      </w:tr>
      <w:tr>
        <w:tc>
          <w:tcPr/>
          <w:p>
            <w:pPr>
              <w:pStyle w:val="Compact"/>
              <w:jc w:val="left"/>
            </w:pPr>
            <w:r>
              <w:rPr>
                <w:bCs/>
                <w:b/>
              </w:rPr>
              <w:t xml:space="preserve">Contact Person:</w:t>
            </w:r>
          </w:p>
        </w:tc>
        <w:tc>
          <w:tcPr/>
          <w:p>
            <w:pPr>
              <w:pStyle w:val="Compact"/>
              <w:jc w:val="left"/>
            </w:pPr>
            <w:r>
              <w:t xml:space="preserve">Mr. Kwame Asante – Operations Director</w:t>
            </w:r>
          </w:p>
        </w:tc>
      </w:tr>
      <w:tr>
        <w:tc>
          <w:tcPr/>
          <w:p>
            <w:pPr>
              <w:pStyle w:val="Compact"/>
              <w:jc w:val="left"/>
            </w:pPr>
            <w:r>
              <w:rPr>
                <w:bCs/>
                <w:b/>
              </w:rPr>
              <w:t xml:space="preserve">Email:</w:t>
            </w:r>
          </w:p>
        </w:tc>
        <w:tc>
          <w:tcPr/>
          <w:p>
            <w:pPr>
              <w:pStyle w:val="Compact"/>
              <w:jc w:val="left"/>
            </w:pPr>
            <w:r>
              <w:t xml:space="preserve">k.asante@aiamgh.com</w:t>
            </w:r>
          </w:p>
        </w:tc>
      </w:tr>
    </w:tbl>
    <w:bookmarkEnd w:id="21"/>
    <w:bookmarkStart w:id="22" w:name="Xbd1e2d33486c37068aa6134a884d697173a8f36"/>
    <w:p>
      <w:pPr>
        <w:pStyle w:val="Heading2"/>
      </w:pPr>
      <w:r>
        <w:t xml:space="preserve">2. Scope of Work – Mechatronics Engineer Services</w:t>
      </w:r>
    </w:p>
    <w:p>
      <w:pPr>
        <w:pStyle w:val="FirstParagraph"/>
      </w:pPr>
      <w:r>
        <w:t xml:space="preserve">This</w:t>
      </w:r>
      <w:r>
        <w:t xml:space="preserve"> </w:t>
      </w:r>
      <w:r>
        <w:t xml:space="preserve">Quotation Estimate</w:t>
      </w:r>
      <w:r>
        <w:t xml:space="preserve"> </w:t>
      </w:r>
      <w:r>
        <w:t xml:space="preserve">is prepared for the engagement of a qualified</w:t>
      </w:r>
      <w:r>
        <w:t xml:space="preserve"> </w:t>
      </w:r>
      <w:r>
        <w:t xml:space="preserve">Mechatronics Engineer</w:t>
      </w:r>
      <w:r>
        <w:t xml:space="preserve"> </w:t>
      </w:r>
      <w:r>
        <w:t xml:space="preserve">to provide comprehensive design, integration, commissioning, and maintenance support for automated production systems at the client's facility located in</w:t>
      </w:r>
      <w:r>
        <w:t xml:space="preserve"> </w:t>
      </w:r>
      <w:r>
        <w:t xml:space="preserve">Ghana Accra</w:t>
      </w:r>
      <w:r>
        <w:t xml:space="preserve">. The</w:t>
      </w:r>
      <w:r>
        <w:t xml:space="preserve"> </w:t>
      </w:r>
      <w:r>
        <w:t xml:space="preserve">Mechatronics Engineer</w:t>
      </w:r>
      <w:r>
        <w:t xml:space="preserve"> </w:t>
      </w:r>
      <w:r>
        <w:t xml:space="preserve">will be responsible for the full lifecycle management of electromechanical systems, including PLC programming, sensor network configuration, robotic cell integration, and predictive maintenance scheduling. All services will be delivered in accordance with the Ghana Standards Authority (GSA) regulations and the Engineering Council of Ghana (ECG) professional practice guidelines.</w:t>
      </w:r>
    </w:p>
    <w:p>
      <w:pPr>
        <w:pStyle w:val="BodyText"/>
      </w:pPr>
      <w:r>
        <w:t xml:space="preserve">The</w:t>
      </w:r>
      <w:r>
        <w:t xml:space="preserve"> </w:t>
      </w:r>
      <w:r>
        <w:t xml:space="preserve">Mechatronics Engineer</w:t>
      </w:r>
      <w:r>
        <w:t xml:space="preserve"> </w:t>
      </w:r>
      <w:r>
        <w:t xml:space="preserve">assigned to this project holds a B.Sc. in Mechatronics Engineering from the Kwame Nkrumah University of Science and Technology (KNUST), Kumasi, and is a registered member of the Engineering Council of Ghana. The engineer brings over eight years of hands-on experience in industrial automation, control systems design, and electromechanical integration within West African manufacturing environments.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(GHS)</w:t>
            </w:r>
          </w:p>
        </w:tc>
        <w:tc>
          <w:tcPr/>
          <w:p>
            <w:pPr>
              <w:pStyle w:val="Compact"/>
              <w:jc w:val="left"/>
            </w:pPr>
            <w:r>
              <w:t xml:space="preserve">Total (GHS)</w:t>
            </w:r>
          </w:p>
        </w:tc>
      </w:tr>
      <w:tr>
        <w:tc>
          <w:tcPr/>
          <w:p>
            <w:pPr>
              <w:pStyle w:val="Compact"/>
              <w:jc w:val="left"/>
            </w:pPr>
            <w:r>
              <w:t xml:space="preserve">01</w:t>
            </w:r>
          </w:p>
        </w:tc>
        <w:tc>
          <w:tcPr/>
          <w:p>
            <w:pPr>
              <w:pStyle w:val="Compact"/>
              <w:jc w:val="left"/>
            </w:pPr>
            <w:r>
              <w:t xml:space="preserve">Site assessment and systems audit at Ghana Accra facility</w:t>
            </w:r>
          </w:p>
        </w:tc>
        <w:tc>
          <w:tcPr/>
          <w:p>
            <w:pPr>
              <w:pStyle w:val="Compact"/>
              <w:jc w:val="left"/>
            </w:pPr>
            <w:r>
              <w:t xml:space="preserve">5 working days</w:t>
            </w:r>
          </w:p>
        </w:tc>
        <w:tc>
          <w:tcPr/>
          <w:p>
            <w:pPr>
              <w:pStyle w:val="Compact"/>
              <w:jc w:val="left"/>
            </w:pPr>
            <w:r>
              <w:t xml:space="preserve">4,500.00</w:t>
            </w:r>
          </w:p>
        </w:tc>
        <w:tc>
          <w:tcPr/>
          <w:p>
            <w:pPr>
              <w:pStyle w:val="Compact"/>
              <w:jc w:val="left"/>
            </w:pPr>
            <w:r>
              <w:t xml:space="preserve">22,500.00</w:t>
            </w:r>
          </w:p>
        </w:tc>
      </w:tr>
      <w:tr>
        <w:tc>
          <w:tcPr/>
          <w:p>
            <w:pPr>
              <w:pStyle w:val="Compact"/>
              <w:jc w:val="left"/>
            </w:pPr>
            <w:r>
              <w:t xml:space="preserve">02</w:t>
            </w:r>
          </w:p>
        </w:tc>
        <w:tc>
          <w:tcPr/>
          <w:p>
            <w:pPr>
              <w:pStyle w:val="Compact"/>
              <w:jc w:val="left"/>
            </w:pPr>
            <w:r>
              <w:t xml:space="preserve">Design and engineering of PLC-based control architecture</w:t>
            </w:r>
          </w:p>
        </w:tc>
        <w:tc>
          <w:tcPr/>
          <w:p>
            <w:pPr>
              <w:pStyle w:val="Compact"/>
              <w:jc w:val="left"/>
            </w:pPr>
            <w:r>
              <w:t xml:space="preserve">15 working days</w:t>
            </w:r>
          </w:p>
        </w:tc>
        <w:tc>
          <w:tcPr/>
          <w:p>
            <w:pPr>
              <w:pStyle w:val="Compact"/>
              <w:jc w:val="left"/>
            </w:pPr>
            <w:r>
              <w:t xml:space="preserve">6,200.00</w:t>
            </w:r>
          </w:p>
        </w:tc>
        <w:tc>
          <w:tcPr/>
          <w:p>
            <w:pPr>
              <w:pStyle w:val="Compact"/>
              <w:jc w:val="left"/>
            </w:pPr>
            <w:r>
              <w:t xml:space="preserve">93,000.00</w:t>
            </w:r>
          </w:p>
        </w:tc>
      </w:tr>
      <w:tr>
        <w:tc>
          <w:tcPr/>
          <w:p>
            <w:pPr>
              <w:pStyle w:val="Compact"/>
              <w:jc w:val="left"/>
            </w:pPr>
            <w:r>
              <w:t xml:space="preserve">03</w:t>
            </w:r>
          </w:p>
        </w:tc>
        <w:tc>
          <w:tcPr/>
          <w:p>
            <w:pPr>
              <w:pStyle w:val="Compact"/>
              <w:jc w:val="left"/>
            </w:pPr>
            <w:r>
              <w:t xml:space="preserve">Integration of robotic assembly cells (3 units)</w:t>
            </w:r>
          </w:p>
        </w:tc>
        <w:tc>
          <w:tcPr/>
          <w:p>
            <w:pPr>
              <w:pStyle w:val="Compact"/>
              <w:jc w:val="left"/>
            </w:pPr>
            <w:r>
              <w:t xml:space="preserve">20 working days</w:t>
            </w:r>
          </w:p>
        </w:tc>
        <w:tc>
          <w:tcPr/>
          <w:p>
            <w:pPr>
              <w:pStyle w:val="Compact"/>
              <w:jc w:val="left"/>
            </w:pPr>
            <w:r>
              <w:t xml:space="preserve">7,800.00</w:t>
            </w:r>
          </w:p>
        </w:tc>
        <w:tc>
          <w:tcPr/>
          <w:p>
            <w:pPr>
              <w:pStyle w:val="Compact"/>
              <w:jc w:val="left"/>
            </w:pPr>
            <w:r>
              <w:t xml:space="preserve">156,000.00</w:t>
            </w:r>
          </w:p>
        </w:tc>
      </w:tr>
      <w:tr>
        <w:tc>
          <w:tcPr/>
          <w:p>
            <w:pPr>
              <w:pStyle w:val="Compact"/>
              <w:jc w:val="left"/>
            </w:pPr>
            <w:r>
              <w:t xml:space="preserve">04</w:t>
            </w:r>
          </w:p>
        </w:tc>
        <w:tc>
          <w:tcPr/>
          <w:p>
            <w:pPr>
              <w:pStyle w:val="Compact"/>
              <w:jc w:val="left"/>
            </w:pPr>
            <w:r>
              <w:t xml:space="preserve">Sensor network installation and calibration (proximity, vision, pressure)</w:t>
            </w:r>
          </w:p>
        </w:tc>
        <w:tc>
          <w:tcPr/>
          <w:p>
            <w:pPr>
              <w:pStyle w:val="Compact"/>
              <w:jc w:val="left"/>
            </w:pPr>
            <w:r>
              <w:t xml:space="preserve">10 working days</w:t>
            </w:r>
          </w:p>
        </w:tc>
        <w:tc>
          <w:tcPr/>
          <w:p>
            <w:pPr>
              <w:pStyle w:val="Compact"/>
              <w:jc w:val="left"/>
            </w:pPr>
            <w:r>
              <w:t xml:space="preserve">5,400.00</w:t>
            </w:r>
          </w:p>
        </w:tc>
        <w:tc>
          <w:tcPr/>
          <w:p>
            <w:pPr>
              <w:pStyle w:val="Compact"/>
              <w:jc w:val="left"/>
            </w:pPr>
            <w:r>
              <w:t xml:space="preserve">54,000.00</w:t>
            </w:r>
          </w:p>
        </w:tc>
      </w:tr>
      <w:tr>
        <w:tc>
          <w:tcPr/>
          <w:p>
            <w:pPr>
              <w:pStyle w:val="Compact"/>
              <w:jc w:val="left"/>
            </w:pPr>
            <w:r>
              <w:t xml:space="preserve">05</w:t>
            </w:r>
          </w:p>
        </w:tc>
        <w:tc>
          <w:tcPr/>
          <w:p>
            <w:pPr>
              <w:pStyle w:val="Compact"/>
              <w:jc w:val="left"/>
            </w:pPr>
            <w:r>
              <w:t xml:space="preserve">SCADA/HMI interface development and operator training</w:t>
            </w:r>
          </w:p>
        </w:tc>
        <w:tc>
          <w:tcPr/>
          <w:p>
            <w:pPr>
              <w:pStyle w:val="Compact"/>
              <w:jc w:val="left"/>
            </w:pPr>
            <w:r>
              <w:t xml:space="preserve">12 working days</w:t>
            </w:r>
          </w:p>
        </w:tc>
        <w:tc>
          <w:tcPr/>
          <w:p>
            <w:pPr>
              <w:pStyle w:val="Compact"/>
              <w:jc w:val="left"/>
            </w:pPr>
            <w:r>
              <w:t xml:space="preserve">5,900.00</w:t>
            </w:r>
          </w:p>
        </w:tc>
        <w:tc>
          <w:tcPr/>
          <w:p>
            <w:pPr>
              <w:pStyle w:val="Compact"/>
              <w:jc w:val="left"/>
            </w:pPr>
            <w:r>
              <w:t xml:space="preserve">70,800.00</w:t>
            </w:r>
          </w:p>
        </w:tc>
      </w:tr>
      <w:tr>
        <w:tc>
          <w:tcPr/>
          <w:p>
            <w:pPr>
              <w:pStyle w:val="Compact"/>
              <w:jc w:val="left"/>
            </w:pPr>
            <w:r>
              <w:t xml:space="preserve">06</w:t>
            </w:r>
          </w:p>
        </w:tc>
        <w:tc>
          <w:tcPr/>
          <w:p>
            <w:pPr>
              <w:pStyle w:val="Compact"/>
              <w:jc w:val="left"/>
            </w:pPr>
            <w:r>
              <w:t xml:space="preserve">Commissioning, load testing, and performance validation</w:t>
            </w:r>
          </w:p>
        </w:tc>
        <w:tc>
          <w:tcPr/>
          <w:p>
            <w:pPr>
              <w:pStyle w:val="Compact"/>
              <w:jc w:val="left"/>
            </w:pPr>
            <w:r>
              <w:t xml:space="preserve">8 working days</w:t>
            </w:r>
          </w:p>
        </w:tc>
        <w:tc>
          <w:tcPr/>
          <w:p>
            <w:pPr>
              <w:pStyle w:val="Compact"/>
              <w:jc w:val="left"/>
            </w:pPr>
            <w:r>
              <w:t xml:space="preserve">6,500.00</w:t>
            </w:r>
          </w:p>
        </w:tc>
        <w:tc>
          <w:tcPr/>
          <w:p>
            <w:pPr>
              <w:pStyle w:val="Compact"/>
              <w:jc w:val="left"/>
            </w:pPr>
            <w:r>
              <w:t xml:space="preserve">52,000.00</w:t>
            </w:r>
          </w:p>
        </w:tc>
      </w:tr>
      <w:tr>
        <w:tc>
          <w:tcPr/>
          <w:p>
            <w:pPr>
              <w:pStyle w:val="Compact"/>
              <w:jc w:val="left"/>
            </w:pPr>
            <w:r>
              <w:t xml:space="preserve">07</w:t>
            </w:r>
          </w:p>
        </w:tc>
        <w:tc>
          <w:tcPr/>
          <w:p>
            <w:pPr>
              <w:pStyle w:val="Compact"/>
              <w:jc w:val="left"/>
            </w:pPr>
            <w:r>
              <w:t xml:space="preserve">Preventive maintenance plan and 12-month support retainer</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08</w:t>
            </w:r>
          </w:p>
        </w:tc>
        <w:tc>
          <w:tcPr/>
          <w:p>
            <w:pPr>
              <w:pStyle w:val="Compact"/>
              <w:jc w:val="left"/>
            </w:pPr>
            <w:r>
              <w:t xml:space="preserve">Technical documentation, as-built drawings, and handover package</w:t>
            </w:r>
          </w:p>
        </w:tc>
        <w:tc>
          <w:tcPr/>
          <w:p>
            <w:pPr>
              <w:pStyle w:val="Compact"/>
              <w:jc w:val="left"/>
            </w:pPr>
            <w:r>
              <w:t xml:space="preserve">5 working days</w:t>
            </w:r>
          </w:p>
        </w:tc>
        <w:tc>
          <w:tcPr/>
          <w:p>
            <w:pPr>
              <w:pStyle w:val="Compact"/>
              <w:jc w:val="left"/>
            </w:pPr>
            <w:r>
              <w:t xml:space="preserve">3,800.00</w:t>
            </w:r>
          </w:p>
        </w:tc>
        <w:tc>
          <w:tcPr/>
          <w:p>
            <w:pPr>
              <w:pStyle w:val="Compact"/>
              <w:jc w:val="left"/>
            </w:pPr>
            <w:r>
              <w:t xml:space="preserve">19,000.00</w:t>
            </w:r>
          </w:p>
        </w:tc>
      </w:tr>
      <w:tr>
        <w:tc>
          <w:tcPr>
            <w:gridSpan w:val="4"/>
          </w:tcPr>
          <w:p>
            <w:pPr>
              <w:pStyle w:val="Compact"/>
              <w:jc w:val="left"/>
            </w:pPr>
            <w:r>
              <w:t xml:space="preserve">Subtotal (GHS)</w:t>
            </w:r>
          </w:p>
        </w:tc>
        <w:tc>
          <w:tcPr/>
          <w:p>
            <w:pPr>
              <w:pStyle w:val="Compact"/>
              <w:jc w:val="left"/>
            </w:pPr>
            <w:r>
              <w:t xml:space="preserve">485,800.00</w:t>
            </w:r>
          </w:p>
        </w:tc>
      </w:tr>
      <w:tr>
        <w:tc>
          <w:tcPr>
            <w:gridSpan w:val="4"/>
          </w:tcPr>
          <w:p>
            <w:pPr>
              <w:pStyle w:val="Compact"/>
              <w:jc w:val="left"/>
            </w:pPr>
            <w:r>
              <w:t xml:space="preserve">VAT @ 15% (Ghana Revenue Authority)</w:t>
            </w:r>
          </w:p>
        </w:tc>
        <w:tc>
          <w:tcPr/>
          <w:p>
            <w:pPr>
              <w:pStyle w:val="Compact"/>
              <w:jc w:val="left"/>
            </w:pPr>
            <w:r>
              <w:t xml:space="preserve">72,870.00</w:t>
            </w:r>
          </w:p>
        </w:tc>
      </w:tr>
      <w:tr>
        <w:tc>
          <w:tcPr>
            <w:gridSpan w:val="4"/>
          </w:tcPr>
          <w:p>
            <w:pPr>
              <w:pStyle w:val="Compact"/>
              <w:jc w:val="left"/>
            </w:pPr>
            <w:r>
              <w:rPr>
                <w:bCs/>
                <w:b/>
              </w:rPr>
              <w:t xml:space="preserve">GRAND TOTAL (GHS)</w:t>
            </w:r>
          </w:p>
        </w:tc>
        <w:tc>
          <w:tcPr/>
          <w:p>
            <w:pPr>
              <w:pStyle w:val="Compact"/>
              <w:jc w:val="left"/>
            </w:pPr>
            <w:r>
              <w:rPr>
                <w:bCs/>
                <w:b/>
              </w:rPr>
              <w:t xml:space="preserve">558,670.00</w:t>
            </w:r>
          </w:p>
        </w:tc>
      </w:tr>
    </w:tbl>
    <w:bookmarkEnd w:id="23"/>
    <w:bookmarkStart w:id="24" w:name="payment-schedule"/>
    <w:p>
      <w:pPr>
        <w:pStyle w:val="Heading2"/>
      </w:pPr>
      <w:r>
        <w:t xml:space="preserve">4.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(GHS)</w:t>
            </w:r>
          </w:p>
        </w:tc>
        <w:tc>
          <w:tcPr/>
          <w:p>
            <w:pPr>
              <w:pStyle w:val="Compact"/>
              <w:jc w:val="left"/>
            </w:pPr>
            <w:r>
              <w:t xml:space="preserve">Due Date</w:t>
            </w:r>
          </w:p>
        </w:tc>
      </w:tr>
      <w:tr>
        <w:tc>
          <w:tcPr/>
          <w:p>
            <w:pPr>
              <w:pStyle w:val="Compact"/>
              <w:jc w:val="left"/>
            </w:pPr>
            <w:r>
              <w:t xml:space="preserve">Contract signing and mobilization</w:t>
            </w:r>
          </w:p>
        </w:tc>
        <w:tc>
          <w:tcPr/>
          <w:p>
            <w:pPr>
              <w:pStyle w:val="Compact"/>
              <w:jc w:val="left"/>
            </w:pPr>
            <w:r>
              <w:t xml:space="preserve">25%</w:t>
            </w:r>
          </w:p>
        </w:tc>
        <w:tc>
          <w:tcPr/>
          <w:p>
            <w:pPr>
              <w:pStyle w:val="Compact"/>
              <w:jc w:val="left"/>
            </w:pPr>
            <w:r>
              <w:t xml:space="preserve">139,667.50</w:t>
            </w:r>
          </w:p>
        </w:tc>
        <w:tc>
          <w:tcPr/>
          <w:p>
            <w:pPr>
              <w:pStyle w:val="Compact"/>
              <w:jc w:val="left"/>
            </w:pPr>
            <w:r>
              <w:t xml:space="preserve">Upon acceptance of this Quotation Estimate</w:t>
            </w:r>
          </w:p>
        </w:tc>
      </w:tr>
      <w:tr>
        <w:tc>
          <w:tcPr/>
          <w:p>
            <w:pPr>
              <w:pStyle w:val="Compact"/>
              <w:jc w:val="left"/>
            </w:pPr>
            <w:r>
              <w:t xml:space="preserve">Completion of design and integration phases</w:t>
            </w:r>
          </w:p>
        </w:tc>
        <w:tc>
          <w:tcPr/>
          <w:p>
            <w:pPr>
              <w:pStyle w:val="Compact"/>
              <w:jc w:val="left"/>
            </w:pPr>
            <w:r>
              <w:t xml:space="preserve">40%</w:t>
            </w:r>
          </w:p>
        </w:tc>
        <w:tc>
          <w:tcPr/>
          <w:p>
            <w:pPr>
              <w:pStyle w:val="Compact"/>
              <w:jc w:val="left"/>
            </w:pPr>
            <w:r>
              <w:t xml:space="preserve">223,468.00</w:t>
            </w:r>
          </w:p>
        </w:tc>
        <w:tc>
          <w:tcPr/>
          <w:p>
            <w:pPr>
              <w:pStyle w:val="Compact"/>
              <w:jc w:val="left"/>
            </w:pPr>
            <w:r>
              <w:t xml:space="preserve">Day 45 of project execution</w:t>
            </w:r>
          </w:p>
        </w:tc>
      </w:tr>
      <w:tr>
        <w:tc>
          <w:tcPr/>
          <w:p>
            <w:pPr>
              <w:pStyle w:val="Compact"/>
              <w:jc w:val="left"/>
            </w:pPr>
            <w:r>
              <w:t xml:space="preserve">Successful commissioning and handover</w:t>
            </w:r>
          </w:p>
        </w:tc>
        <w:tc>
          <w:tcPr/>
          <w:p>
            <w:pPr>
              <w:pStyle w:val="Compact"/>
              <w:jc w:val="left"/>
            </w:pPr>
            <w:r>
              <w:t xml:space="preserve">25%</w:t>
            </w:r>
          </w:p>
        </w:tc>
        <w:tc>
          <w:tcPr/>
          <w:p>
            <w:pPr>
              <w:pStyle w:val="Compact"/>
              <w:jc w:val="left"/>
            </w:pPr>
            <w:r>
              <w:t xml:space="preserve">139,667.50</w:t>
            </w:r>
          </w:p>
        </w:tc>
        <w:tc>
          <w:tcPr/>
          <w:p>
            <w:pPr>
              <w:pStyle w:val="Compact"/>
              <w:jc w:val="left"/>
            </w:pPr>
            <w:r>
              <w:t xml:space="preserve">Upon final acceptance in Ghana Accra</w:t>
            </w:r>
          </w:p>
        </w:tc>
      </w:tr>
      <w:tr>
        <w:tc>
          <w:tcPr/>
          <w:p>
            <w:pPr>
              <w:pStyle w:val="Compact"/>
              <w:jc w:val="left"/>
            </w:pPr>
            <w:r>
              <w:t xml:space="preserve">Warranty period completion (12 months)</w:t>
            </w:r>
          </w:p>
        </w:tc>
        <w:tc>
          <w:tcPr/>
          <w:p>
            <w:pPr>
              <w:pStyle w:val="Compact"/>
              <w:jc w:val="left"/>
            </w:pPr>
            <w:r>
              <w:t xml:space="preserve">10%</w:t>
            </w:r>
          </w:p>
        </w:tc>
        <w:tc>
          <w:tcPr/>
          <w:p>
            <w:pPr>
              <w:pStyle w:val="Compact"/>
              <w:jc w:val="left"/>
            </w:pPr>
            <w:r>
              <w:t xml:space="preserve">55,867.00</w:t>
            </w:r>
          </w:p>
        </w:tc>
        <w:tc>
          <w:tcPr/>
          <w:p>
            <w:pPr>
              <w:pStyle w:val="Compact"/>
              <w:jc w:val="left"/>
            </w:pPr>
            <w:r>
              <w:t xml:space="preserve">Month 13 post-handover</w:t>
            </w:r>
          </w:p>
        </w:tc>
      </w:tr>
    </w:tbl>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acceptance beyond this period is subject to re-evaluation of pricing due to potential fluctuations in material costs and exchange rates within Ghana Accra.</w:t>
      </w:r>
    </w:p>
    <w:p>
      <w:pPr>
        <w:numPr>
          <w:ilvl w:val="0"/>
          <w:numId w:val="1001"/>
        </w:numPr>
        <w:pStyle w:val="Compact"/>
      </w:pPr>
      <w:r>
        <w:t xml:space="preserve">All payments shall be made in Ghana Cedis (GHS) via bank transfer to the account of TechNova Engineering Solutions Ltd. at Ecobank Ghana, Accra Branch. No cash payments will be accepted.</w:t>
      </w:r>
    </w:p>
    <w:p>
      <w:pPr>
        <w:numPr>
          <w:ilvl w:val="0"/>
          <w:numId w:val="1001"/>
        </w:numPr>
        <w:pStyle w:val="Compact"/>
      </w:pPr>
      <w:r>
        <w:t xml:space="preserve">The</w:t>
      </w:r>
      <w:r>
        <w:t xml:space="preserve"> </w:t>
      </w:r>
      <w:r>
        <w:t xml:space="preserve">Mechatronics Engineer</w:t>
      </w:r>
      <w:r>
        <w:t xml:space="preserve"> </w:t>
      </w:r>
      <w:r>
        <w:t xml:space="preserve">shall comply with all occupational health and safety regulations as enforced by the Ghana Labour Commission and the National Safety Authority (NSA) while on-site in Ghana Accra.</w:t>
      </w:r>
    </w:p>
    <w:p>
      <w:pPr>
        <w:numPr>
          <w:ilvl w:val="0"/>
          <w:numId w:val="1001"/>
        </w:numPr>
        <w:pStyle w:val="Compact"/>
      </w:pPr>
      <w:r>
        <w:t xml:space="preserve">Intellectual property generated during the course of this engagement, including control logic, HMI designs, and system architectures, shall remain the property of the client upon full payment. The</w:t>
      </w:r>
      <w:r>
        <w:t xml:space="preserve"> </w:t>
      </w:r>
      <w:r>
        <w:t xml:space="preserve">Mechatronics Engineer</w:t>
      </w:r>
      <w:r>
        <w:t xml:space="preserve"> </w:t>
      </w:r>
      <w:r>
        <w:t xml:space="preserve">retains the right to reference the project in professional portfolios with client consent.</w:t>
      </w:r>
    </w:p>
    <w:p>
      <w:pPr>
        <w:numPr>
          <w:ilvl w:val="0"/>
          <w:numId w:val="1001"/>
        </w:numPr>
        <w:pStyle w:val="Compact"/>
      </w:pPr>
      <w:r>
        <w:t xml:space="preserve">Any changes to the scope of work must be documented in a formal variation order signed by both parties. Additional costs arising from scope changes will be itemized in a supplementary</w:t>
      </w:r>
      <w:r>
        <w:t xml:space="preserve"> </w:t>
      </w:r>
      <w:r>
        <w:t xml:space="preserve">Quotation Estimate</w:t>
      </w:r>
      <w:r>
        <w:t xml:space="preserve">.</w:t>
      </w:r>
    </w:p>
    <w:p>
      <w:pPr>
        <w:numPr>
          <w:ilvl w:val="0"/>
          <w:numId w:val="1001"/>
        </w:numPr>
        <w:pStyle w:val="Compact"/>
      </w:pPr>
      <w:r>
        <w:t xml:space="preserve">The</w:t>
      </w:r>
      <w:r>
        <w:t xml:space="preserve"> </w:t>
      </w:r>
      <w:r>
        <w:t xml:space="preserve">Mechatronics Engineer</w:t>
      </w:r>
      <w:r>
        <w:t xml:space="preserve"> </w:t>
      </w:r>
      <w:r>
        <w:t xml:space="preserve">provides a twelve-month warranty on all design and integration work performed. This warranty covers defects in engineering but excludes damage caused by operator error, power surges, or unauthorized modifications.</w:t>
      </w:r>
    </w:p>
    <w:p>
      <w:pPr>
        <w:numPr>
          <w:ilvl w:val="0"/>
          <w:numId w:val="1001"/>
        </w:numPr>
        <w:pStyle w:val="Compact"/>
      </w:pPr>
      <w:r>
        <w:t xml:space="preserve">Disputes arising from this</w:t>
      </w:r>
      <w:r>
        <w:t xml:space="preserve"> </w:t>
      </w:r>
      <w:r>
        <w:t xml:space="preserve">Quotation Estimate</w:t>
      </w:r>
      <w:r>
        <w:t xml:space="preserve"> </w:t>
      </w:r>
      <w:r>
        <w:t xml:space="preserve">shall be resolved through mediation under the Ghana Arbitration Act, 1968 (Act 30), with jurisdiction in Ghana Accra.</w:t>
      </w:r>
    </w:p>
    <w:p>
      <w:pPr>
        <w:numPr>
          <w:ilvl w:val="0"/>
          <w:numId w:val="1001"/>
        </w:numPr>
        <w:pStyle w:val="Compact"/>
      </w:pPr>
      <w:r>
        <w:t xml:space="preserve">The client agrees to provide the</w:t>
      </w:r>
      <w:r>
        <w:t xml:space="preserve"> </w:t>
      </w:r>
      <w:r>
        <w:t xml:space="preserve">Mechatronics Engineer</w:t>
      </w:r>
      <w:r>
        <w:t xml:space="preserve"> </w:t>
      </w:r>
      <w:r>
        <w:t xml:space="preserve">with safe access to the facility, necessary utilities, and all existing technical documentation prior to the commencement of work.</w:t>
      </w:r>
    </w:p>
    <w:bookmarkEnd w:id="25"/>
    <w:bookmarkStart w:id="26" w:name="assumptions-and-exclusions"/>
    <w:p>
      <w:pPr>
        <w:pStyle w:val="Heading2"/>
      </w:pPr>
      <w:r>
        <w:t xml:space="preserve">6. Assumptions and Exclusions</w:t>
      </w:r>
    </w:p>
    <w:p>
      <w:pPr>
        <w:pStyle w:val="FirstParagraph"/>
      </w:pPr>
      <w:r>
        <w:t xml:space="preserve">This</w:t>
      </w:r>
      <w:r>
        <w:t xml:space="preserve"> </w:t>
      </w:r>
      <w:r>
        <w:t xml:space="preserve">Quotation Estimate</w:t>
      </w:r>
      <w:r>
        <w:t xml:space="preserve"> </w:t>
      </w:r>
      <w:r>
        <w:t xml:space="preserve">assumes that the existing electrical infrastructure at the Ghana Accra facility is in good working order and compliant with the Ghana National Electrical Code. The cost of major civil works, structural modifications, or third-party equipment procurement (e.g., robotic arms, servo drives) is excluded and will be quoted separately. Travel and accommodation for the</w:t>
      </w:r>
      <w:r>
        <w:t xml:space="preserve"> </w:t>
      </w:r>
      <w:r>
        <w:t xml:space="preserve">Mechatronics Engineer</w:t>
      </w:r>
      <w:r>
        <w:t xml:space="preserve"> </w:t>
      </w:r>
      <w:r>
        <w:t xml:space="preserve">within the Greater Accra Region are included; however, any travel outside Ghana Accra for component sourcing will be billed at cost plus a 10% administrative surcharge.</w:t>
      </w:r>
    </w:p>
    <w:bookmarkEnd w:id="26"/>
    <w:bookmarkStart w:id="27" w:name="acceptance-and-authorization"/>
    <w:p>
      <w:pPr>
        <w:pStyle w:val="Heading2"/>
      </w:pPr>
      <w:r>
        <w:t xml:space="preserve">7. Acceptance and Authorization</w:t>
      </w:r>
    </w:p>
    <w:p>
      <w:pPr>
        <w:pStyle w:val="FirstParagraph"/>
      </w:pPr>
      <w:r>
        <w:t xml:space="preserve">By signing below, the client acknowledges and accepts the terms, conditions, and pricing outlined in this</w:t>
      </w:r>
      <w:r>
        <w:t xml:space="preserve"> </w:t>
      </w:r>
      <w:r>
        <w:t xml:space="preserve">Quotation Estimate</w:t>
      </w:r>
      <w:r>
        <w:t xml:space="preserve"> </w:t>
      </w:r>
      <w:r>
        <w:t xml:space="preserve">for the engagement of the</w:t>
      </w:r>
      <w:r>
        <w:t xml:space="preserve"> </w:t>
      </w:r>
      <w:r>
        <w:t xml:space="preserve">Mechatronics Engineer</w:t>
      </w:r>
      <w:r>
        <w:t xml:space="preserve"> </w:t>
      </w:r>
      <w:r>
        <w:t xml:space="preserve">at the specified facility in</w:t>
      </w:r>
      <w:r>
        <w:t xml:space="preserve"> </w:t>
      </w:r>
      <w:r>
        <w:t xml:space="preserve">Ghana Accra</w:t>
      </w:r>
      <w:r>
        <w:t xml:space="preserve">. This document, once countersigned, constitutes a binding agreement between both parties.</w:t>
      </w:r>
    </w:p>
    <w:p>
      <w:pPr>
        <w:pStyle w:val="BodyText"/>
      </w:pPr>
      <w:r>
        <w:rPr>
          <w:bCs/>
          <w:b/>
        </w:rPr>
        <w:t xml:space="preserve">For: TechNova Engineering Solutions Ltd.</w:t>
      </w:r>
      <w:r>
        <w:br/>
      </w:r>
      <w:r>
        <w:t xml:space="preserve">Name: Eng. Nana Yaw Boateng</w:t>
      </w:r>
      <w:r>
        <w:br/>
      </w:r>
      <w:r>
        <w:t xml:space="preserve">Title: Lead Mechatronics Engineer / Project Director</w:t>
      </w:r>
      <w:r>
        <w:br/>
      </w:r>
      <w:r>
        <w:t xml:space="preserve">Date: ______________________</w:t>
      </w:r>
    </w:p>
    <w:p>
      <w:pPr>
        <w:pStyle w:val="BodyText"/>
      </w:pPr>
      <w:r>
        <w:rPr>
          <w:bCs/>
          <w:b/>
        </w:rPr>
        <w:t xml:space="preserve">For: Accra Industrial Automation &amp; Mfg. Co. Ltd.</w:t>
      </w:r>
      <w:r>
        <w:br/>
      </w:r>
      <w:r>
        <w:t xml:space="preserve">Name: Mr. Kwame Asante</w:t>
      </w:r>
      <w:r>
        <w:br/>
      </w:r>
      <w:r>
        <w:t xml:space="preserve">Title: Operations Director</w:t>
      </w:r>
      <w:r>
        <w:br/>
      </w:r>
      <w:r>
        <w:t xml:space="preserve">Date: ______________________</w:t>
      </w:r>
    </w:p>
    <w:p>
      <w:pPr>
        <w:pStyle w:val="BodyText"/>
      </w:pPr>
      <w:r>
        <w:t xml:space="preserve">This Quotation Estimate was prepared by TechNova Engineering Solutions Ltd., Ghana Accra.</w:t>
      </w:r>
      <w:r>
        <w:br/>
      </w:r>
      <w:r>
        <w:t xml:space="preserve">Document Reference: TN/GE/2025/0047 | Page 1 of 1</w:t>
      </w:r>
      <w:r>
        <w:br/>
      </w:r>
      <w:r>
        <w:t xml:space="preserve">© 2025 TechNova Engineering Solutions Ltd.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Mechatronics Engineer Services - Ghana Accra</dc:title>
  <dc:creator/>
  <dc:language>en</dc:language>
  <cp:keywords/>
  <dcterms:created xsi:type="dcterms:W3CDTF">2026-10-10T04:29:44Z</dcterms:created>
  <dcterms:modified xsi:type="dcterms:W3CDTF">2026-10-10T04:29:44Z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