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Mechatronics</w:t>
      </w:r>
      <w:r>
        <w:t xml:space="preserve"> </w:t>
      </w:r>
      <w:r>
        <w:t xml:space="preserve">Engineer</w:t>
      </w:r>
      <w:r>
        <w:t xml:space="preserve"> </w:t>
      </w:r>
      <w:r>
        <w:t xml:space="preserve">Services</w:t>
      </w:r>
      <w:r>
        <w:t xml:space="preserve"> </w:t>
      </w:r>
      <w:r>
        <w:t xml:space="preserve">-</w:t>
      </w:r>
      <w:r>
        <w:t xml:space="preserve"> </w:t>
      </w:r>
      <w:r>
        <w:t xml:space="preserve">Israel</w:t>
      </w:r>
      <w:r>
        <w:t xml:space="preserve"> </w:t>
      </w:r>
      <w:r>
        <w:t xml:space="preserve">Jerusalem</w:t>
      </w:r>
    </w:p>
    <w:bookmarkStart w:id="20" w:name="quotation-estimate"/>
    <w:p>
      <w:pPr>
        <w:pStyle w:val="Heading1"/>
      </w:pPr>
      <w:r>
        <w:t xml:space="preserve">Quotation Estimate</w:t>
      </w:r>
    </w:p>
    <w:p>
      <w:pPr>
        <w:pStyle w:val="FirstParagraph"/>
      </w:pPr>
      <w:r>
        <w:rPr>
          <w:bCs/>
          <w:b/>
        </w:rPr>
        <w:t xml:space="preserve">Jerusalem Advanced Mechatronics Solutions Ltd.</w:t>
      </w:r>
    </w:p>
    <w:p>
      <w:pPr>
        <w:pStyle w:val="BodyText"/>
      </w:pPr>
      <w:r>
        <w:t xml:space="preserve">14 King David Street, Jerusalem, Israel 97100</w:t>
      </w:r>
    </w:p>
    <w:p>
      <w:pPr>
        <w:pStyle w:val="BodyText"/>
      </w:pPr>
      <w:r>
        <w:t xml:space="preserve">Tel: +972-2-623-4567 | Email: estimates@jamechatronics.co.il</w:t>
      </w:r>
    </w:p>
    <w:p>
      <w:pPr>
        <w:pStyle w:val="BodyText"/>
      </w:pPr>
      <w:r>
        <w:t xml:space="preserve">VAT No. 51-234-567-8 | Registration: 51-234567-8</w:t>
      </w:r>
    </w:p>
    <w:bookmarkEnd w:id="20"/>
    <w:p>
      <w:pPr>
        <w:pStyle w:val="BodyText"/>
      </w:pPr>
      <w:r>
        <w:rPr>
          <w:bCs/>
          <w:b/>
        </w:rPr>
        <w:t xml:space="preserve">Quotation No.:</w:t>
      </w:r>
      <w:r>
        <w:t xml:space="preserve"> </w:t>
      </w:r>
      <w:r>
        <w:t xml:space="preserve">QE-JER-2025-0847</w:t>
      </w:r>
      <w:r>
        <w:br/>
      </w:r>
      <w:r>
        <w:rPr>
          <w:bCs/>
          <w:b/>
        </w:rPr>
        <w:t xml:space="preserve">Date Issued:</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For:</w:t>
      </w:r>
      <w:r>
        <w:br/>
      </w:r>
      <w:r>
        <w:t xml:space="preserve">Client Name: [Client Organization]</w:t>
      </w:r>
      <w:r>
        <w:br/>
      </w:r>
      <w:r>
        <w:t xml:space="preserve">Address: [Client Address], Israel Jerusalem</w:t>
      </w:r>
      <w:r>
        <w:br/>
      </w:r>
      <w:r>
        <w:t xml:space="preserve">Contact: [Client Contact Person]</w:t>
      </w:r>
      <w:r>
        <w:br/>
      </w:r>
      <w:r>
        <w:t xml:space="preserve">Email: [client@email.com]</w:t>
      </w:r>
    </w:p>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formally issued by Jerusalem Advanced Mechatronics Solutions Ltd. to provide a comprehensive cost breakdown for the engagement of a senior</w:t>
      </w:r>
      <w:r>
        <w:t xml:space="preserve"> </w:t>
      </w:r>
      <w:r>
        <w:t xml:space="preserve">Mechatronics Engineer</w:t>
      </w:r>
      <w:r>
        <w:t xml:space="preserve"> </w:t>
      </w:r>
      <w:r>
        <w:t xml:space="preserve">to deliver specialized technical services within the Israel Jerusalem metropolitan area. This document outlines the full scope of professional services, associated labor costs, equipment requirements, and project milestones that the</w:t>
      </w:r>
      <w:r>
        <w:t xml:space="preserve"> </w:t>
      </w:r>
      <w:r>
        <w:t xml:space="preserve">Mechatronics Engineer</w:t>
      </w:r>
      <w:r>
        <w:t xml:space="preserve"> </w:t>
      </w:r>
      <w:r>
        <w:t xml:space="preserve">will undertake on behalf of the client. All pricing and terms contained within this</w:t>
      </w:r>
      <w:r>
        <w:t xml:space="preserve"> </w:t>
      </w:r>
      <w:r>
        <w:t xml:space="preserve">Quotation Estimate</w:t>
      </w:r>
      <w:r>
        <w:t xml:space="preserve"> </w:t>
      </w:r>
      <w:r>
        <w:t xml:space="preserve">are specific to the Israel Jerusalem operational context, including local regulatory compliance, transportation logistics, and regional labor market considerations.</w:t>
      </w:r>
    </w:p>
    <w:bookmarkEnd w:id="21"/>
    <w:bookmarkStart w:id="22" w:name="Xdbf973cb63ed133fb6b3e0e645d213b11fdaa04"/>
    <w:p>
      <w:pPr>
        <w:pStyle w:val="Heading2"/>
      </w:pPr>
      <w:r>
        <w:t xml:space="preserve">2. Professional Profile – Mechatronics Engineer</w:t>
      </w:r>
    </w:p>
    <w:p>
      <w:pPr>
        <w:pStyle w:val="FirstParagraph"/>
      </w:pPr>
      <w:r>
        <w:t xml:space="preserve">The</w:t>
      </w:r>
      <w:r>
        <w:t xml:space="preserve"> </w:t>
      </w:r>
      <w:r>
        <w:t xml:space="preserve">Mechatronics Engineer</w:t>
      </w:r>
      <w:r>
        <w:t xml:space="preserve"> </w:t>
      </w:r>
      <w:r>
        <w:t xml:space="preserve">assigned to this project holds a B.Sc. in Mechatronics Engineering from the Technion – Israel Institute of Technology, with an additional M.Sc. in Advanced Robotics and Control Systems. The engineer possesses over twelve (12) years of hands-on experience in the design, integration, testing, and maintenance of electromechanical systems, PLC-based automation, industrial robotics, and embedded control systems. The</w:t>
      </w:r>
      <w:r>
        <w:t xml:space="preserve"> </w:t>
      </w:r>
      <w:r>
        <w:t xml:space="preserve">Mechatronics Engineer</w:t>
      </w:r>
      <w:r>
        <w:t xml:space="preserve"> </w:t>
      </w:r>
      <w:r>
        <w:t xml:space="preserve">is fully licensed to practice in Israel and is registered with the Israel Engineers Association. All work will be conducted in compliance with Israeli Standards (SII) and applicable European CE directives as adopted in the Israel Jerusalem industrial zone.</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(ILS)</w:t>
            </w:r>
          </w:p>
        </w:tc>
        <w:tc>
          <w:tcPr/>
          <w:p>
            <w:pPr>
              <w:pStyle w:val="Compact"/>
              <w:jc w:val="left"/>
            </w:pPr>
            <w:r>
              <w:t xml:space="preserve">Total (ILS)</w:t>
            </w:r>
          </w:p>
        </w:tc>
        <w:tc>
          <w:tcPr/>
          <w:p>
            <w:pPr>
              <w:pStyle w:val="Compact"/>
              <w:jc w:val="left"/>
            </w:pPr>
            <w:r>
              <w:t xml:space="preserve">Duration</w:t>
            </w:r>
          </w:p>
        </w:tc>
      </w:tr>
      <w:tr>
        <w:tc>
          <w:tcPr/>
          <w:p>
            <w:pPr>
              <w:pStyle w:val="Compact"/>
              <w:jc w:val="left"/>
            </w:pPr>
            <w:r>
              <w:t xml:space="preserve">3.1</w:t>
            </w:r>
          </w:p>
        </w:tc>
        <w:tc>
          <w:tcPr/>
          <w:p>
            <w:pPr>
              <w:pStyle w:val="Compact"/>
              <w:jc w:val="left"/>
            </w:pPr>
            <w:r>
              <w:t xml:space="preserve">Initial site assessment and system audit at client facility, Israel Jerusalem</w:t>
            </w:r>
          </w:p>
        </w:tc>
        <w:tc>
          <w:tcPr/>
          <w:p>
            <w:pPr>
              <w:pStyle w:val="Compact"/>
              <w:jc w:val="left"/>
            </w:pPr>
            <w:r>
              <w:t xml:space="preserve">1 visit</w:t>
            </w:r>
          </w:p>
        </w:tc>
        <w:tc>
          <w:tcPr/>
          <w:p>
            <w:pPr>
              <w:pStyle w:val="Compact"/>
              <w:jc w:val="left"/>
            </w:pPr>
            <w:r>
              <w:t xml:space="preserve">4,500</w:t>
            </w:r>
          </w:p>
        </w:tc>
        <w:tc>
          <w:tcPr/>
          <w:p>
            <w:pPr>
              <w:pStyle w:val="Compact"/>
              <w:jc w:val="left"/>
            </w:pPr>
            <w:r>
              <w:t xml:space="preserve">4,500</w:t>
            </w:r>
          </w:p>
        </w:tc>
        <w:tc>
          <w:tcPr/>
          <w:p>
            <w:pPr>
              <w:pStyle w:val="Compact"/>
              <w:jc w:val="left"/>
            </w:pPr>
            <w:r>
              <w:t xml:space="preserve">Day 1</w:t>
            </w:r>
          </w:p>
        </w:tc>
      </w:tr>
      <w:tr>
        <w:tc>
          <w:tcPr/>
          <w:p>
            <w:pPr>
              <w:pStyle w:val="Compact"/>
              <w:jc w:val="left"/>
            </w:pPr>
            <w:r>
              <w:t xml:space="preserve">3.2</w:t>
            </w:r>
          </w:p>
        </w:tc>
        <w:tc>
          <w:tcPr/>
          <w:p>
            <w:pPr>
              <w:pStyle w:val="Compact"/>
              <w:jc w:val="left"/>
            </w:pPr>
            <w:r>
              <w:t xml:space="preserve">Design and engineering of mechatronic control system (schematics, PLC programming, HMI design)</w:t>
            </w:r>
          </w:p>
        </w:tc>
        <w:tc>
          <w:tcPr/>
          <w:p>
            <w:pPr>
              <w:pStyle w:val="Compact"/>
              <w:jc w:val="left"/>
            </w:pPr>
            <w:r>
              <w:t xml:space="preserve">1 project</w:t>
            </w:r>
          </w:p>
        </w:tc>
        <w:tc>
          <w:tcPr/>
          <w:p>
            <w:pPr>
              <w:pStyle w:val="Compact"/>
              <w:jc w:val="left"/>
            </w:pPr>
            <w:r>
              <w:t xml:space="preserve">38,000</w:t>
            </w:r>
          </w:p>
        </w:tc>
        <w:tc>
          <w:tcPr/>
          <w:p>
            <w:pPr>
              <w:pStyle w:val="Compact"/>
              <w:jc w:val="left"/>
            </w:pPr>
            <w:r>
              <w:t xml:space="preserve">38,000</w:t>
            </w:r>
          </w:p>
        </w:tc>
        <w:tc>
          <w:tcPr/>
          <w:p>
            <w:pPr>
              <w:pStyle w:val="Compact"/>
              <w:jc w:val="left"/>
            </w:pPr>
            <w:r>
              <w:t xml:space="preserve">Weeks 1–4</w:t>
            </w:r>
          </w:p>
        </w:tc>
      </w:tr>
      <w:tr>
        <w:tc>
          <w:tcPr/>
          <w:p>
            <w:pPr>
              <w:pStyle w:val="Compact"/>
              <w:jc w:val="left"/>
            </w:pPr>
            <w:r>
              <w:t xml:space="preserve">3.3</w:t>
            </w:r>
          </w:p>
        </w:tc>
        <w:tc>
          <w:tcPr/>
          <w:p>
            <w:pPr>
              <w:pStyle w:val="Compact"/>
              <w:jc w:val="left"/>
            </w:pPr>
            <w:r>
              <w:t xml:space="preserve">Procurement coordination and component sourcing (sensors, actuators, microcontrollers, wiring harnesses)</w:t>
            </w:r>
          </w:p>
        </w:tc>
        <w:tc>
          <w:tcPr/>
          <w:p>
            <w:pPr>
              <w:pStyle w:val="Compact"/>
              <w:jc w:val="left"/>
            </w:pPr>
            <w:r>
              <w:t xml:space="preserve">1 package</w:t>
            </w:r>
          </w:p>
        </w:tc>
        <w:tc>
          <w:tcPr/>
          <w:p>
            <w:pPr>
              <w:pStyle w:val="Compact"/>
              <w:jc w:val="left"/>
            </w:pPr>
            <w:r>
              <w:t xml:space="preserve">27,500</w:t>
            </w:r>
          </w:p>
        </w:tc>
        <w:tc>
          <w:tcPr/>
          <w:p>
            <w:pPr>
              <w:pStyle w:val="Compact"/>
              <w:jc w:val="left"/>
            </w:pPr>
            <w:r>
              <w:t xml:space="preserve">27,500</w:t>
            </w:r>
          </w:p>
        </w:tc>
        <w:tc>
          <w:tcPr/>
          <w:p>
            <w:pPr>
              <w:pStyle w:val="Compact"/>
              <w:jc w:val="left"/>
            </w:pPr>
            <w:r>
              <w:t xml:space="preserve">Weeks 3–5</w:t>
            </w:r>
          </w:p>
        </w:tc>
      </w:tr>
      <w:tr>
        <w:tc>
          <w:tcPr/>
          <w:p>
            <w:pPr>
              <w:pStyle w:val="Compact"/>
              <w:jc w:val="left"/>
            </w:pPr>
            <w:r>
              <w:t xml:space="preserve">3.4</w:t>
            </w:r>
          </w:p>
        </w:tc>
        <w:tc>
          <w:tcPr/>
          <w:p>
            <w:pPr>
              <w:pStyle w:val="Compact"/>
              <w:jc w:val="left"/>
            </w:pPr>
            <w:r>
              <w:t xml:space="preserve">On-site installation, wiring, and mechanical integration at Israel Jerusalem facility</w:t>
            </w:r>
          </w:p>
        </w:tc>
        <w:tc>
          <w:tcPr/>
          <w:p>
            <w:pPr>
              <w:pStyle w:val="Compact"/>
              <w:jc w:val="left"/>
            </w:pPr>
            <w:r>
              <w:t xml:space="preserve">120 hours</w:t>
            </w:r>
          </w:p>
        </w:tc>
        <w:tc>
          <w:tcPr/>
          <w:p>
            <w:pPr>
              <w:pStyle w:val="Compact"/>
              <w:jc w:val="left"/>
            </w:pPr>
            <w:r>
              <w:t xml:space="preserve">320</w:t>
            </w:r>
          </w:p>
        </w:tc>
        <w:tc>
          <w:tcPr/>
          <w:p>
            <w:pPr>
              <w:pStyle w:val="Compact"/>
              <w:jc w:val="left"/>
            </w:pPr>
            <w:r>
              <w:t xml:space="preserve">38,400</w:t>
            </w:r>
          </w:p>
        </w:tc>
        <w:tc>
          <w:tcPr/>
          <w:p>
            <w:pPr>
              <w:pStyle w:val="Compact"/>
              <w:jc w:val="left"/>
            </w:pPr>
            <w:r>
              <w:t xml:space="preserve">Weeks 5–8</w:t>
            </w:r>
          </w:p>
        </w:tc>
      </w:tr>
      <w:tr>
        <w:tc>
          <w:tcPr/>
          <w:p>
            <w:pPr>
              <w:pStyle w:val="Compact"/>
              <w:jc w:val="left"/>
            </w:pPr>
            <w:r>
              <w:t xml:space="preserve">3.5</w:t>
            </w:r>
          </w:p>
        </w:tc>
        <w:tc>
          <w:tcPr/>
          <w:p>
            <w:pPr>
              <w:pStyle w:val="Compact"/>
              <w:jc w:val="left"/>
            </w:pPr>
            <w:r>
              <w:t xml:space="preserve">System calibration, functional testing, and performance validation</w:t>
            </w:r>
          </w:p>
        </w:tc>
        <w:tc>
          <w:tcPr/>
          <w:p>
            <w:pPr>
              <w:pStyle w:val="Compact"/>
              <w:jc w:val="left"/>
            </w:pPr>
            <w:r>
              <w:t xml:space="preserve">1 phase</w:t>
            </w:r>
          </w:p>
        </w:tc>
        <w:tc>
          <w:tcPr/>
          <w:p>
            <w:pPr>
              <w:pStyle w:val="Compact"/>
              <w:jc w:val="left"/>
            </w:pPr>
            <w:r>
              <w:t xml:space="preserve">12,000</w:t>
            </w:r>
          </w:p>
        </w:tc>
        <w:tc>
          <w:tcPr/>
          <w:p>
            <w:pPr>
              <w:pStyle w:val="Compact"/>
              <w:jc w:val="left"/>
            </w:pPr>
            <w:r>
              <w:t xml:space="preserve">12,000</w:t>
            </w:r>
          </w:p>
        </w:tc>
        <w:tc>
          <w:tcPr/>
          <w:p>
            <w:pPr>
              <w:pStyle w:val="Compact"/>
              <w:jc w:val="left"/>
            </w:pPr>
            <w:r>
              <w:t xml:space="preserve">Week 9</w:t>
            </w:r>
          </w:p>
        </w:tc>
      </w:tr>
      <w:tr>
        <w:tc>
          <w:tcPr/>
          <w:p>
            <w:pPr>
              <w:pStyle w:val="Compact"/>
              <w:jc w:val="left"/>
            </w:pPr>
            <w:r>
              <w:t xml:space="preserve">3.6</w:t>
            </w:r>
          </w:p>
        </w:tc>
        <w:tc>
          <w:tcPr/>
          <w:p>
            <w:pPr>
              <w:pStyle w:val="Compact"/>
              <w:jc w:val="left"/>
            </w:pPr>
            <w:r>
              <w:t xml:space="preserve">Operator training sessions (4 sessions × 3 hours) for client staff in Israel Jerusalem</w:t>
            </w:r>
          </w:p>
        </w:tc>
        <w:tc>
          <w:tcPr/>
          <w:p>
            <w:pPr>
              <w:pStyle w:val="Compact"/>
              <w:jc w:val="left"/>
            </w:pPr>
            <w:r>
              <w:t xml:space="preserve">4 sessions</w:t>
            </w:r>
          </w:p>
        </w:tc>
        <w:tc>
          <w:tcPr/>
          <w:p>
            <w:pPr>
              <w:pStyle w:val="Compact"/>
              <w:jc w:val="left"/>
            </w:pPr>
            <w:r>
              <w:t xml:space="preserve">2,800</w:t>
            </w:r>
          </w:p>
        </w:tc>
        <w:tc>
          <w:tcPr/>
          <w:p>
            <w:pPr>
              <w:pStyle w:val="Compact"/>
              <w:jc w:val="left"/>
            </w:pPr>
            <w:r>
              <w:t xml:space="preserve">11,200</w:t>
            </w:r>
          </w:p>
        </w:tc>
        <w:tc>
          <w:tcPr/>
          <w:p>
            <w:pPr>
              <w:pStyle w:val="Compact"/>
              <w:jc w:val="left"/>
            </w:pPr>
            <w:r>
              <w:t xml:space="preserve">Week 10</w:t>
            </w:r>
          </w:p>
        </w:tc>
      </w:tr>
      <w:tr>
        <w:tc>
          <w:tcPr/>
          <w:p>
            <w:pPr>
              <w:pStyle w:val="Compact"/>
              <w:jc w:val="left"/>
            </w:pPr>
            <w:r>
              <w:t xml:space="preserve">3.7</w:t>
            </w:r>
          </w:p>
        </w:tc>
        <w:tc>
          <w:tcPr/>
          <w:p>
            <w:pPr>
              <w:pStyle w:val="Compact"/>
              <w:jc w:val="left"/>
            </w:pPr>
            <w:r>
              <w:t xml:space="preserve">Documentation package: technical manuals, as-built drawings, maintenance schedules, and compliance certificates</w:t>
            </w:r>
          </w:p>
        </w:tc>
        <w:tc>
          <w:tcPr/>
          <w:p>
            <w:pPr>
              <w:pStyle w:val="Compact"/>
              <w:jc w:val="left"/>
            </w:pPr>
            <w:r>
              <w:t xml:space="preserve">1 set</w:t>
            </w:r>
          </w:p>
        </w:tc>
        <w:tc>
          <w:tcPr/>
          <w:p>
            <w:pPr>
              <w:pStyle w:val="Compact"/>
              <w:jc w:val="left"/>
            </w:pPr>
            <w:r>
              <w:t xml:space="preserve">6,500</w:t>
            </w:r>
          </w:p>
        </w:tc>
        <w:tc>
          <w:tcPr/>
          <w:p>
            <w:pPr>
              <w:pStyle w:val="Compact"/>
              <w:jc w:val="left"/>
            </w:pPr>
            <w:r>
              <w:t xml:space="preserve">6,500</w:t>
            </w:r>
          </w:p>
        </w:tc>
        <w:tc>
          <w:tcPr/>
          <w:p>
            <w:pPr>
              <w:pStyle w:val="Compact"/>
              <w:jc w:val="left"/>
            </w:pPr>
            <w:r>
              <w:t xml:space="preserve">Week 10</w:t>
            </w:r>
          </w:p>
        </w:tc>
      </w:tr>
      <w:tr>
        <w:tc>
          <w:tcPr/>
          <w:p>
            <w:pPr>
              <w:pStyle w:val="Compact"/>
              <w:jc w:val="left"/>
            </w:pPr>
            <w:r>
              <w:t xml:space="preserve">3.8</w:t>
            </w:r>
          </w:p>
        </w:tc>
        <w:tc>
          <w:tcPr/>
          <w:p>
            <w:pPr>
              <w:pStyle w:val="Compact"/>
              <w:jc w:val="left"/>
            </w:pPr>
            <w:r>
              <w:t xml:space="preserve">Post-commissioning support and warranty period (remote and on-site, Israel Jerusalem area)</w:t>
            </w:r>
          </w:p>
        </w:tc>
        <w:tc>
          <w:tcPr/>
          <w:p>
            <w:pPr>
              <w:pStyle w:val="Compact"/>
              <w:jc w:val="left"/>
            </w:pPr>
            <w:r>
              <w:t xml:space="preserve">3 months</w:t>
            </w:r>
          </w:p>
        </w:tc>
        <w:tc>
          <w:tcPr/>
          <w:p>
            <w:pPr>
              <w:pStyle w:val="Compact"/>
              <w:jc w:val="left"/>
            </w:pPr>
            <w:r>
              <w:t xml:space="preserve">9,000</w:t>
            </w:r>
          </w:p>
        </w:tc>
        <w:tc>
          <w:tcPr/>
          <w:p>
            <w:pPr>
              <w:pStyle w:val="Compact"/>
              <w:jc w:val="left"/>
            </w:pPr>
            <w:r>
              <w:t xml:space="preserve">9,000</w:t>
            </w:r>
          </w:p>
        </w:tc>
        <w:tc>
          <w:tcPr/>
          <w:p>
            <w:pPr>
              <w:pStyle w:val="Compact"/>
              <w:jc w:val="left"/>
            </w:pPr>
            <w:r>
              <w:t xml:space="preserve">Months 4–6</w:t>
            </w:r>
          </w:p>
        </w:tc>
      </w:tr>
      <w:tr>
        <w:tc>
          <w:tcPr>
            <w:gridSpan w:val="4"/>
          </w:tcPr>
          <w:p>
            <w:pPr>
              <w:pStyle w:val="Compact"/>
              <w:jc w:val="left"/>
            </w:pPr>
            <w:r>
              <w:rPr>
                <w:bCs/>
                <w:b/>
              </w:rPr>
              <w:t xml:space="preserve">Subtotal (excl. VAT)</w:t>
            </w:r>
          </w:p>
        </w:tc>
        <w:tc>
          <w:tcPr/>
          <w:p>
            <w:pPr>
              <w:pStyle w:val="Compact"/>
              <w:jc w:val="left"/>
            </w:pPr>
            <w:r>
              <w:rPr>
                <w:bCs/>
                <w:b/>
              </w:rPr>
              <w:t xml:space="preserve">147,100</w:t>
            </w:r>
          </w:p>
        </w:tc>
        <w:tc>
          <w:tcPr/>
          <w:p>
            <w:pPr>
              <w:pStyle w:val="Compact"/>
            </w:pPr>
          </w:p>
        </w:tc>
      </w:tr>
      <w:tr>
        <w:tc>
          <w:tcPr>
            <w:gridSpan w:val="4"/>
          </w:tcPr>
          <w:p>
            <w:pPr>
              <w:pStyle w:val="Compact"/>
              <w:jc w:val="left"/>
            </w:pPr>
            <w:r>
              <w:rPr>
                <w:bCs/>
                <w:b/>
              </w:rPr>
              <w:t xml:space="preserve">VAT (18%)</w:t>
            </w:r>
          </w:p>
        </w:tc>
        <w:tc>
          <w:tcPr/>
          <w:p>
            <w:pPr>
              <w:pStyle w:val="Compact"/>
              <w:jc w:val="left"/>
            </w:pPr>
            <w:r>
              <w:rPr>
                <w:bCs/>
                <w:b/>
              </w:rPr>
              <w:t xml:space="preserve">26,478</w:t>
            </w:r>
          </w:p>
        </w:tc>
        <w:tc>
          <w:tcPr/>
          <w:p>
            <w:pPr>
              <w:pStyle w:val="Compact"/>
            </w:pPr>
          </w:p>
        </w:tc>
      </w:tr>
      <w:tr>
        <w:tc>
          <w:tcPr>
            <w:gridSpan w:val="4"/>
          </w:tcPr>
          <w:p>
            <w:pPr>
              <w:pStyle w:val="Compact"/>
              <w:jc w:val="left"/>
            </w:pPr>
            <w:r>
              <w:rPr>
                <w:bCs/>
                <w:b/>
              </w:rPr>
              <w:t xml:space="preserve">Grand Total (incl. VAT)</w:t>
            </w:r>
          </w:p>
        </w:tc>
        <w:tc>
          <w:tcPr/>
          <w:p>
            <w:pPr>
              <w:pStyle w:val="Compact"/>
              <w:jc w:val="left"/>
            </w:pPr>
            <w:r>
              <w:rPr>
                <w:bCs/>
                <w:b/>
              </w:rPr>
              <w:t xml:space="preserve">173,578 ILS</w:t>
            </w:r>
          </w:p>
        </w:tc>
        <w:tc>
          <w:tcPr/>
          <w:p>
            <w:pPr>
              <w:pStyle w:val="Compact"/>
            </w:pPr>
          </w:p>
        </w:tc>
      </w:tr>
    </w:tbl>
    <w:bookmarkEnd w:id="23"/>
    <w:bookmarkStart w:id="24" w:name="X985eb999f0cfcda5f1af1a675bf0b7c2e0a6c64"/>
    <w:p>
      <w:pPr>
        <w:pStyle w:val="Heading2"/>
      </w:pPr>
      <w:r>
        <w:t xml:space="preserve">4. Terms and Conditions of This Quotation Estimate</w:t>
      </w:r>
    </w:p>
    <w:p>
      <w:pPr>
        <w:pStyle w:val="FirstParagraph"/>
      </w:pPr>
      <w:r>
        <w:rPr>
          <w:bCs/>
          <w:b/>
        </w:rPr>
        <w:t xml:space="preserve">4.1 Validity:</w:t>
      </w:r>
      <w:r>
        <w:t xml:space="preserve"> </w:t>
      </w:r>
      <w:r>
        <w:t xml:space="preserve">This</w:t>
      </w:r>
      <w:r>
        <w:t xml:space="preserve"> </w:t>
      </w:r>
      <w:r>
        <w:t xml:space="preserve">Quotation Estimate</w:t>
      </w:r>
      <w:r>
        <w:t xml:space="preserve"> </w:t>
      </w:r>
      <w:r>
        <w:t xml:space="preserve">remains valid for thirty (30) calendar days from the date of issue. After the expiration date, all rates, particularly those related to the</w:t>
      </w:r>
      <w:r>
        <w:t xml:space="preserve"> </w:t>
      </w:r>
      <w:r>
        <w:t xml:space="preserve">Mechatronics Engineer</w:t>
      </w:r>
      <w:r>
        <w:t xml:space="preserve">'s professional hourly fee and component pricing, are subject to revision based on current market conditions in Israel Jerusalem.</w:t>
      </w:r>
    </w:p>
    <w:p>
      <w:pPr>
        <w:pStyle w:val="BodyText"/>
      </w:pPr>
      <w:r>
        <w:rPr>
          <w:bCs/>
          <w:b/>
        </w:rPr>
        <w:t xml:space="preserve">4.2 Payment Schedule:</w:t>
      </w:r>
      <w:r>
        <w:t xml:space="preserve"> </w:t>
      </w:r>
      <w:r>
        <w:t xml:space="preserve">Payment shall be made in three installments: 30% upon acceptance of this</w:t>
      </w:r>
      <w:r>
        <w:t xml:space="preserve"> </w:t>
      </w:r>
      <w:r>
        <w:t xml:space="preserve">Quotation Estimate</w:t>
      </w:r>
      <w:r>
        <w:t xml:space="preserve"> </w:t>
      </w:r>
      <w:r>
        <w:t xml:space="preserve">and project commencement; 40% upon completion of installation and integration (end of Week 8); and 30% upon final acceptance and delivery of the documentation package. All payments are due within fourteen (14) days of invoice date via bank transfer to the account of Jerusalem Advanced Mechatronics Solutions Ltd.</w:t>
      </w:r>
    </w:p>
    <w:p>
      <w:pPr>
        <w:pStyle w:val="BodyText"/>
      </w:pPr>
      <w:r>
        <w:rPr>
          <w:bCs/>
          <w:b/>
        </w:rPr>
        <w:t xml:space="preserve">4.3 Scope Changes:</w:t>
      </w:r>
      <w:r>
        <w:t xml:space="preserve"> </w:t>
      </w:r>
      <w:r>
        <w:t xml:space="preserve">Any modification to the original scope of work requested by the client will be subject to a revised</w:t>
      </w:r>
      <w:r>
        <w:t xml:space="preserve"> </w:t>
      </w:r>
      <w:r>
        <w:t xml:space="preserve">Quotation Estimate</w:t>
      </w:r>
      <w:r>
        <w:t xml:space="preserve"> </w:t>
      </w:r>
      <w:r>
        <w:t xml:space="preserve">issued by the</w:t>
      </w:r>
      <w:r>
        <w:t xml:space="preserve"> </w:t>
      </w:r>
      <w:r>
        <w:t xml:space="preserve">Mechatronics Engineer</w:t>
      </w:r>
      <w:r>
        <w:t xml:space="preserve"> </w:t>
      </w:r>
      <w:r>
        <w:t xml:space="preserve">and approved in writing by both parties before additional work commences.</w:t>
      </w:r>
    </w:p>
    <w:p>
      <w:pPr>
        <w:pStyle w:val="BodyText"/>
      </w:pPr>
      <w:r>
        <w:rPr>
          <w:bCs/>
          <w:b/>
        </w:rPr>
        <w:t xml:space="preserve">4.4 Liability and Insurance:</w:t>
      </w:r>
      <w:r>
        <w:t xml:space="preserve"> </w:t>
      </w:r>
      <w:r>
        <w:t xml:space="preserve">The</w:t>
      </w:r>
      <w:r>
        <w:t xml:space="preserve"> </w:t>
      </w:r>
      <w:r>
        <w:t xml:space="preserve">Mechatronics Engineer</w:t>
      </w:r>
      <w:r>
        <w:t xml:space="preserve"> </w:t>
      </w:r>
      <w:r>
        <w:t xml:space="preserve">and the contracting firm carry full professional indemnity insurance and public liability coverage as required by Israeli law. The client is responsible for providing safe access to the work site in Israel Jerusalem and ensuring all necessary permits are in place prior to commencement.</w:t>
      </w:r>
    </w:p>
    <w:p>
      <w:pPr>
        <w:pStyle w:val="BodyText"/>
      </w:pPr>
      <w:r>
        <w:rPr>
          <w:bCs/>
          <w:b/>
        </w:rPr>
        <w:t xml:space="preserve">4.5 Confidentiality:</w:t>
      </w:r>
      <w:r>
        <w:t xml:space="preserve"> </w:t>
      </w:r>
      <w:r>
        <w:t xml:space="preserve">All technical data, proprietary designs, and operational information shared during the engagement shall be treated as strictly confidential. The</w:t>
      </w:r>
      <w:r>
        <w:t xml:space="preserve"> </w:t>
      </w:r>
      <w:r>
        <w:t xml:space="preserve">Mechatronics Engineer</w:t>
      </w:r>
      <w:r>
        <w:t xml:space="preserve"> </w:t>
      </w:r>
      <w:r>
        <w:t xml:space="preserve">is bound by a non-disclosure agreement for a period of three (3) years following project completion.</w:t>
      </w:r>
    </w:p>
    <w:p>
      <w:pPr>
        <w:pStyle w:val="BodyText"/>
      </w:pPr>
      <w:r>
        <w:rPr>
          <w:bCs/>
          <w:b/>
        </w:rPr>
        <w:t xml:space="preserve">4.6 Governing Law:</w:t>
      </w:r>
      <w:r>
        <w:t xml:space="preserve"> </w:t>
      </w:r>
      <w:r>
        <w:t xml:space="preserve">This</w:t>
      </w:r>
      <w:r>
        <w:t xml:space="preserve"> </w:t>
      </w:r>
      <w:r>
        <w:t xml:space="preserve">Quotation Estimate</w:t>
      </w:r>
      <w:r>
        <w:t xml:space="preserve"> </w:t>
      </w:r>
      <w:r>
        <w:t xml:space="preserve">and any resulting contract shall be governed by and interpreted in accordance with the laws of the State of Israel. Any disputes shall be resolved through arbitration in Israel Jerusalem in accordance with the rules of the Israel Arbitration Association.</w:t>
      </w:r>
    </w:p>
    <w:p>
      <w:pPr>
        <w:pStyle w:val="BodyText"/>
      </w:pPr>
      <w:r>
        <w:rPr>
          <w:bCs/>
          <w:b/>
        </w:rPr>
        <w:t xml:space="preserve">4.7 Force Majeure:</w:t>
      </w:r>
      <w:r>
        <w:t xml:space="preserve"> </w:t>
      </w:r>
      <w:r>
        <w:t xml:space="preserve">Neither party shall be liable for delays caused by events beyond reasonable control, including but not limited to natural disasters, government-mandated closures, or civil unrest affecting the Israel Jerusalem region.</w:t>
      </w:r>
    </w:p>
    <w:bookmarkEnd w:id="24"/>
    <w:bookmarkStart w:id="25" w:name="acceptance-and-authorization"/>
    <w:p>
      <w:pPr>
        <w:pStyle w:val="Heading2"/>
      </w:pPr>
      <w:r>
        <w:t xml:space="preserve">5. Acceptance and Authorization</w:t>
      </w:r>
    </w:p>
    <w:p>
      <w:pPr>
        <w:pStyle w:val="FirstParagraph"/>
      </w:pPr>
      <w:r>
        <w:t xml:space="preserve">By signing below, the client acknowledges and accepts all terms, conditions, and pricing outlined in this</w:t>
      </w:r>
      <w:r>
        <w:t xml:space="preserve"> </w:t>
      </w:r>
      <w:r>
        <w:t xml:space="preserve">Quotation Estimate</w:t>
      </w:r>
      <w:r>
        <w:t xml:space="preserve"> </w:t>
      </w:r>
      <w:r>
        <w:t xml:space="preserve">for the engagement of the</w:t>
      </w:r>
      <w:r>
        <w:t xml:space="preserve"> </w:t>
      </w:r>
      <w:r>
        <w:t xml:space="preserve">Mechatronics Engineer</w:t>
      </w:r>
      <w:r>
        <w:t xml:space="preserve"> </w:t>
      </w:r>
      <w:r>
        <w:t xml:space="preserve">for services to be performed in Israel Jerusalem. This signature constitutes a binding agreement to proceed with the project as described herein.</w:t>
      </w:r>
    </w:p>
    <w:p>
      <w:pPr>
        <w:pStyle w:val="BodyText"/>
      </w:pPr>
      <w:r>
        <w:rPr>
          <w:bCs/>
          <w:b/>
        </w:rPr>
        <w:t xml:space="preserve">For: Jerusalem Advanced Mechatronics Solutions Ltd.</w:t>
      </w:r>
      <w:r>
        <w:br/>
      </w:r>
      <w:r>
        <w:t xml:space="preserve">Name: [Engineer / Authorized Signatory]</w:t>
      </w:r>
      <w:r>
        <w:br/>
      </w:r>
      <w:r>
        <w:t xml:space="preserve">Title: Lead Mechatronics Engineer</w:t>
      </w:r>
      <w:r>
        <w:br/>
      </w:r>
      <w:r>
        <w:t xml:space="preserve">Date: _______________</w:t>
      </w:r>
    </w:p>
    <w:p>
      <w:pPr>
        <w:pStyle w:val="BodyText"/>
      </w:pPr>
      <w:r>
        <w:rPr>
          <w:bCs/>
          <w:b/>
        </w:rPr>
        <w:t xml:space="preserve">For: [Client Organization]</w:t>
      </w:r>
      <w:r>
        <w:br/>
      </w:r>
      <w:r>
        <w:t xml:space="preserve">Name: [Client Representative]</w:t>
      </w:r>
      <w:r>
        <w:br/>
      </w:r>
      <w:r>
        <w:t xml:space="preserve">Title: [Title]</w:t>
      </w:r>
      <w:r>
        <w:br/>
      </w:r>
      <w:r>
        <w:t xml:space="preserve">Date: _______________</w:t>
      </w:r>
    </w:p>
    <w:p>
      <w:pPr>
        <w:pStyle w:val="BodyText"/>
      </w:pPr>
      <w:r>
        <w:t xml:space="preserve">This Quotation Estimate document was prepared exclusively for the named client and is not transferable. Jerusalem Advanced Mechatronics Solutions Ltd. reserves the right to amend terms upon written notice. All services are to be delivered in Israel Jerusalem unless otherwise agreed in writing.</w:t>
      </w:r>
    </w:p>
    <w:p>
      <w:pPr>
        <w:pStyle w:val="BodyText"/>
      </w:pPr>
      <w:r>
        <w:t xml:space="preserve">Document Reference: QE-JER-2025-0847 | Page 1 of 1 | Generated: 15 June 2025</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Mechatronics Engineer Services - Israel Jerusalem</dc:title>
  <dc:creator/>
  <dc:language>en</dc:language>
  <cp:keywords/>
  <dcterms:created xsi:type="dcterms:W3CDTF">2026-10-10T03:56:55Z</dcterms:created>
  <dcterms:modified xsi:type="dcterms:W3CDTF">2026-10-10T03:56:55Z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