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Mechatronics Engineering Services</w:t>
      </w:r>
    </w:p>
    <w:p>
      <w:pPr>
        <w:pStyle w:val="BodyText"/>
      </w:pPr>
      <w:r>
        <w:t xml:space="preserve">Prepared for Clients in Israel Tel Aviv</w:t>
      </w:r>
    </w:p>
    <w:bookmarkEnd w:id="20"/>
    <w:p>
      <w:pPr>
        <w:pStyle w:val="BodyText"/>
      </w:pPr>
      <w:r>
        <w:rPr>
          <w:bCs/>
          <w:b/>
        </w:rPr>
        <w:t xml:space="preserve">Quotation No.:</w:t>
      </w:r>
      <w:r>
        <w:t xml:space="preserve"> </w:t>
      </w:r>
      <w:r>
        <w:t xml:space="preserve">QTE-2025-TLV-0472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Levant Engineering Solutions Ltd.</w:t>
      </w:r>
      <w:r>
        <w:br/>
      </w:r>
      <w:r>
        <w:rPr>
          <w:bCs/>
          <w:b/>
        </w:rPr>
        <w:t xml:space="preserve">Address:</w:t>
      </w:r>
      <w:r>
        <w:t xml:space="preserve"> </w:t>
      </w:r>
      <w:r>
        <w:t xml:space="preserve">45 Allenby Street, Tel Aviv, Israel</w:t>
      </w:r>
      <w:r>
        <w:br/>
      </w:r>
      <w:r>
        <w:rPr>
          <w:bCs/>
          <w:b/>
        </w:rPr>
        <w:t xml:space="preserve">Contact:</w:t>
      </w:r>
      <w:r>
        <w:t xml:space="preserve"> </w:t>
      </w:r>
      <w:r>
        <w:t xml:space="preserve">+972-3-555-0142 | info@levant-eng.co.il</w:t>
      </w:r>
    </w:p>
    <w:bookmarkStart w:id="21" w:name="purpose-of-this-quotation-estimate"/>
    <w:p>
      <w:pPr>
        <w:pStyle w:val="Heading2"/>
      </w:pPr>
      <w:r>
        <w:t xml:space="preserve">1. Purpose of This Quotation Estimate</w:t>
      </w:r>
    </w:p>
    <w:p>
      <w:pPr>
        <w:pStyle w:val="FirstParagraph"/>
      </w:pPr>
      <w:r>
        <w:t xml:space="preserve">This Quotation Estimate is issued by Levant Engineering Solutions Ltd. to provide a comprehensive and transparent cost breakdown for the engagement of a qualified Mechatronics Engineer to deliver integrated design, development, and commissioning services. This document is specifically tailored for industrial and commercial clients operating within Israel Tel Aviv, where the demand for advanced mechatronic systems continues to grow across manufacturing, robotics, automation, and smart infrastructure sectors.</w:t>
      </w:r>
    </w:p>
    <w:p>
      <w:pPr>
        <w:pStyle w:val="BodyText"/>
      </w:pPr>
      <w:r>
        <w:t xml:space="preserve">The scope outlined in this Quotation Estimate reflects the current market conditions, regulatory requirements, and technical standards applicable to engineering projects in Israel Tel Aviv. All pricing is presented in Israeli New Shekels (ILS) unless otherwise stated, and is subject to the terms and conditions detailed in Section 7 of this document.</w:t>
      </w:r>
    </w:p>
    <w:bookmarkEnd w:id="21"/>
    <w:bookmarkStart w:id="22" w:name="Xdcb4bddaea805184c7220f300cce6db97445b1a"/>
    <w:p>
      <w:pPr>
        <w:pStyle w:val="Heading2"/>
      </w:pPr>
      <w:r>
        <w:t xml:space="preserve">2. Scope of Services – Mechatronics Engineer Engagement</w:t>
      </w:r>
    </w:p>
    <w:p>
      <w:pPr>
        <w:pStyle w:val="FirstParagraph"/>
      </w:pPr>
      <w:r>
        <w:t xml:space="preserve">The Mechatronics Engineer assigned to this project will provide end-to-end technical support encompassing mechanical design, electronic circuit development, embedded software programming, and system-level integration. The specific deliverables under this Quotation Estimate include the following:</w:t>
      </w:r>
    </w:p>
    <w:p>
      <w:pPr>
        <w:numPr>
          <w:ilvl w:val="0"/>
          <w:numId w:val="1001"/>
        </w:numPr>
        <w:pStyle w:val="Compact"/>
      </w:pPr>
      <w:r>
        <w:t xml:space="preserve">Feasibility study and system architecture design for automated production lines or robotic workstations.</w:t>
      </w:r>
    </w:p>
    <w:p>
      <w:pPr>
        <w:numPr>
          <w:ilvl w:val="0"/>
          <w:numId w:val="1001"/>
        </w:numPr>
        <w:pStyle w:val="Compact"/>
      </w:pPr>
      <w:r>
        <w:t xml:space="preserve">Selection and specification of actuators, sensors, PLCs, microcontrollers, and drive systems.</w:t>
      </w:r>
    </w:p>
    <w:p>
      <w:pPr>
        <w:numPr>
          <w:ilvl w:val="0"/>
          <w:numId w:val="1001"/>
        </w:numPr>
        <w:pStyle w:val="Compact"/>
      </w:pPr>
      <w:r>
        <w:t xml:space="preserve">Design of custom electronic control boards and signal conditioning circuits.</w:t>
      </w:r>
    </w:p>
    <w:p>
      <w:pPr>
        <w:numPr>
          <w:ilvl w:val="0"/>
          <w:numId w:val="1001"/>
        </w:numPr>
        <w:pStyle w:val="Compact"/>
      </w:pPr>
      <w:r>
        <w:t xml:space="preserve">Development of firmware and supervisory control software (SCADA/HMI interfaces).</w:t>
      </w:r>
    </w:p>
    <w:p>
      <w:pPr>
        <w:numPr>
          <w:ilvl w:val="0"/>
          <w:numId w:val="1001"/>
        </w:numPr>
        <w:pStyle w:val="Compact"/>
      </w:pPr>
      <w:r>
        <w:t xml:space="preserve">Mechanical CAD modeling (SolidWorks / CATIA) and tolerance analysis.</w:t>
      </w:r>
    </w:p>
    <w:p>
      <w:pPr>
        <w:numPr>
          <w:ilvl w:val="0"/>
          <w:numId w:val="1001"/>
        </w:numPr>
        <w:pStyle w:val="Compact"/>
      </w:pPr>
      <w:r>
        <w:t xml:space="preserve">Prototype fabrication coordination, bench testing, and field commissioning.</w:t>
      </w:r>
    </w:p>
    <w:p>
      <w:pPr>
        <w:numPr>
          <w:ilvl w:val="0"/>
          <w:numId w:val="1001"/>
        </w:numPr>
        <w:pStyle w:val="Compact"/>
      </w:pPr>
      <w:r>
        <w:t xml:space="preserve">Preparation of technical documentation, as-built drawings, and user manuals.</w:t>
      </w:r>
    </w:p>
    <w:p>
      <w:pPr>
        <w:numPr>
          <w:ilvl w:val="0"/>
          <w:numId w:val="1001"/>
        </w:numPr>
        <w:pStyle w:val="Compact"/>
      </w:pPr>
      <w:r>
        <w:t xml:space="preserve">On-site support and troubleshooting during the initial 90-day operational period.</w:t>
      </w:r>
    </w:p>
    <w:p>
      <w:pPr>
        <w:pStyle w:val="FirstParagraph"/>
      </w:pPr>
      <w:r>
        <w:t xml:space="preserve">The Mechatronics Engineer will operate in accordance with Israeli Standards (SII) and relevant IEC international standards, ensuring full compliance with local safety and electromagnetic compatibility regulations enforced by the Israel Standards Institute.</w:t>
      </w:r>
    </w:p>
    <w:bookmarkEnd w:id="22"/>
    <w:bookmarkStart w:id="23" w:name="project-timeline"/>
    <w:p>
      <w:pPr>
        <w:pStyle w:val="Heading2"/>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Estimated Start</w:t>
            </w:r>
          </w:p>
        </w:tc>
      </w:tr>
      <w:tr>
        <w:tc>
          <w:tcPr/>
          <w:p>
            <w:pPr>
              <w:pStyle w:val="Compact"/>
              <w:jc w:val="left"/>
            </w:pPr>
            <w:r>
              <w:t xml:space="preserve">Phase 1</w:t>
            </w:r>
          </w:p>
        </w:tc>
        <w:tc>
          <w:tcPr/>
          <w:p>
            <w:pPr>
              <w:pStyle w:val="Compact"/>
              <w:jc w:val="left"/>
            </w:pPr>
            <w:r>
              <w:t xml:space="preserve">Requirements gathering, feasibility study, and system design</w:t>
            </w:r>
          </w:p>
        </w:tc>
        <w:tc>
          <w:tcPr/>
          <w:p>
            <w:pPr>
              <w:pStyle w:val="Compact"/>
              <w:jc w:val="left"/>
            </w:pPr>
            <w:r>
              <w:t xml:space="preserve">3 weeks</w:t>
            </w:r>
          </w:p>
        </w:tc>
        <w:tc>
          <w:tcPr/>
          <w:p>
            <w:pPr>
              <w:pStyle w:val="Compact"/>
              <w:jc w:val="left"/>
            </w:pPr>
            <w:r>
              <w:t xml:space="preserve">Week 1</w:t>
            </w:r>
          </w:p>
        </w:tc>
      </w:tr>
      <w:tr>
        <w:tc>
          <w:tcPr/>
          <w:p>
            <w:pPr>
              <w:pStyle w:val="Compact"/>
              <w:jc w:val="left"/>
            </w:pPr>
            <w:r>
              <w:t xml:space="preserve">Phase 2</w:t>
            </w:r>
          </w:p>
        </w:tc>
        <w:tc>
          <w:tcPr/>
          <w:p>
            <w:pPr>
              <w:pStyle w:val="Compact"/>
              <w:jc w:val="left"/>
            </w:pPr>
            <w:r>
              <w:t xml:space="preserve">Component procurement, PCB design, and mechanical fabrication</w:t>
            </w:r>
          </w:p>
        </w:tc>
        <w:tc>
          <w:tcPr/>
          <w:p>
            <w:pPr>
              <w:pStyle w:val="Compact"/>
              <w:jc w:val="left"/>
            </w:pPr>
            <w:r>
              <w:t xml:space="preserve">5 weeks</w:t>
            </w:r>
          </w:p>
        </w:tc>
        <w:tc>
          <w:tcPr/>
          <w:p>
            <w:pPr>
              <w:pStyle w:val="Compact"/>
              <w:jc w:val="left"/>
            </w:pPr>
            <w:r>
              <w:t xml:space="preserve">Week 4</w:t>
            </w:r>
          </w:p>
        </w:tc>
      </w:tr>
      <w:tr>
        <w:tc>
          <w:tcPr/>
          <w:p>
            <w:pPr>
              <w:pStyle w:val="Compact"/>
              <w:jc w:val="left"/>
            </w:pPr>
            <w:r>
              <w:t xml:space="preserve">Phase 3</w:t>
            </w:r>
          </w:p>
        </w:tc>
        <w:tc>
          <w:tcPr/>
          <w:p>
            <w:pPr>
              <w:pStyle w:val="Compact"/>
              <w:jc w:val="left"/>
            </w:pPr>
            <w:r>
              <w:t xml:space="preserve">Software development, integration, and bench testing</w:t>
            </w:r>
          </w:p>
        </w:tc>
        <w:tc>
          <w:tcPr/>
          <w:p>
            <w:pPr>
              <w:pStyle w:val="Compact"/>
              <w:jc w:val="left"/>
            </w:pPr>
            <w:r>
              <w:t xml:space="preserve">4 weeks</w:t>
            </w:r>
          </w:p>
        </w:tc>
        <w:tc>
          <w:tcPr/>
          <w:p>
            <w:pPr>
              <w:pStyle w:val="Compact"/>
              <w:jc w:val="left"/>
            </w:pPr>
            <w:r>
              <w:t xml:space="preserve">Week 9</w:t>
            </w:r>
          </w:p>
        </w:tc>
      </w:tr>
      <w:tr>
        <w:tc>
          <w:tcPr/>
          <w:p>
            <w:pPr>
              <w:pStyle w:val="Compact"/>
              <w:jc w:val="left"/>
            </w:pPr>
            <w:r>
              <w:t xml:space="preserve">Phase 4</w:t>
            </w:r>
          </w:p>
        </w:tc>
        <w:tc>
          <w:tcPr/>
          <w:p>
            <w:pPr>
              <w:pStyle w:val="Compact"/>
              <w:jc w:val="left"/>
            </w:pPr>
            <w:r>
              <w:t xml:space="preserve">On-site installation, commissioning, and client training in Israel Tel Aviv</w:t>
            </w:r>
          </w:p>
        </w:tc>
        <w:tc>
          <w:tcPr/>
          <w:p>
            <w:pPr>
              <w:pStyle w:val="Compact"/>
              <w:jc w:val="left"/>
            </w:pPr>
            <w:r>
              <w:t xml:space="preserve">2 weeks</w:t>
            </w:r>
          </w:p>
        </w:tc>
        <w:tc>
          <w:tcPr/>
          <w:p>
            <w:pPr>
              <w:pStyle w:val="Compact"/>
              <w:jc w:val="left"/>
            </w:pPr>
            <w:r>
              <w:t xml:space="preserve">Week 13</w:t>
            </w:r>
          </w:p>
        </w:tc>
      </w:tr>
      <w:tr>
        <w:tc>
          <w:tcPr/>
          <w:p>
            <w:pPr>
              <w:pStyle w:val="Compact"/>
              <w:jc w:val="left"/>
            </w:pPr>
            <w:r>
              <w:t xml:space="preserve">Phase 5</w:t>
            </w:r>
          </w:p>
        </w:tc>
        <w:tc>
          <w:tcPr/>
          <w:p>
            <w:pPr>
              <w:pStyle w:val="Compact"/>
              <w:jc w:val="left"/>
            </w:pPr>
            <w:r>
              <w:t xml:space="preserve">Post-commissioning support and documentation handover</w:t>
            </w:r>
          </w:p>
        </w:tc>
        <w:tc>
          <w:tcPr/>
          <w:p>
            <w:pPr>
              <w:pStyle w:val="Compact"/>
              <w:jc w:val="left"/>
            </w:pPr>
            <w:r>
              <w:t xml:space="preserve">13 weeks</w:t>
            </w:r>
          </w:p>
        </w:tc>
        <w:tc>
          <w:tcPr/>
          <w:p>
            <w:pPr>
              <w:pStyle w:val="Compact"/>
              <w:jc w:val="left"/>
            </w:pPr>
            <w:r>
              <w:t xml:space="preserve">Week 15</w:t>
            </w:r>
          </w:p>
        </w:tc>
      </w:tr>
    </w:tbl>
    <w:bookmarkEnd w:id="23"/>
    <w:bookmarkStart w:id="24" w:name="financial-breakdown"/>
    <w:p>
      <w:pPr>
        <w:pStyle w:val="Heading2"/>
      </w:pPr>
      <w:r>
        <w:t xml:space="preserve">4.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(ILS)</w:t>
            </w:r>
          </w:p>
        </w:tc>
        <w:tc>
          <w:tcPr/>
          <w:p>
            <w:pPr>
              <w:pStyle w:val="Compact"/>
              <w:jc w:val="left"/>
            </w:pPr>
            <w:r>
              <w:t xml:space="preserve">Quantity</w:t>
            </w:r>
          </w:p>
        </w:tc>
        <w:tc>
          <w:tcPr/>
          <w:p>
            <w:pPr>
              <w:pStyle w:val="Compact"/>
              <w:jc w:val="left"/>
            </w:pPr>
            <w:r>
              <w:t xml:space="preserve">Amount (ILS)</w:t>
            </w:r>
          </w:p>
        </w:tc>
      </w:tr>
      <w:tr>
        <w:tc>
          <w:tcPr/>
          <w:p>
            <w:pPr>
              <w:pStyle w:val="Compact"/>
              <w:jc w:val="left"/>
            </w:pPr>
            <w:r>
              <w:t xml:space="preserve">4.1</w:t>
            </w:r>
          </w:p>
        </w:tc>
        <w:tc>
          <w:tcPr/>
          <w:p>
            <w:pPr>
              <w:pStyle w:val="Compact"/>
              <w:jc w:val="left"/>
            </w:pPr>
            <w:r>
              <w:t xml:space="preserve">Mechatronics Engineer – Senior (design &amp; development)</w:t>
            </w:r>
          </w:p>
        </w:tc>
        <w:tc>
          <w:tcPr/>
          <w:p>
            <w:pPr>
              <w:pStyle w:val="Compact"/>
              <w:jc w:val="left"/>
            </w:pPr>
            <w:r>
              <w:t xml:space="preserve">1,850 / hr</w:t>
            </w:r>
          </w:p>
        </w:tc>
        <w:tc>
          <w:tcPr/>
          <w:p>
            <w:pPr>
              <w:pStyle w:val="Compact"/>
              <w:jc w:val="left"/>
            </w:pPr>
            <w:r>
              <w:t xml:space="preserve">220 hrs</w:t>
            </w:r>
          </w:p>
        </w:tc>
        <w:tc>
          <w:tcPr/>
          <w:p>
            <w:pPr>
              <w:pStyle w:val="Compact"/>
              <w:jc w:val="left"/>
            </w:pPr>
            <w:r>
              <w:t xml:space="preserve">407,000</w:t>
            </w:r>
          </w:p>
        </w:tc>
      </w:tr>
      <w:tr>
        <w:tc>
          <w:tcPr/>
          <w:p>
            <w:pPr>
              <w:pStyle w:val="Compact"/>
              <w:jc w:val="left"/>
            </w:pPr>
            <w:r>
              <w:t xml:space="preserve">4.2</w:t>
            </w:r>
          </w:p>
        </w:tc>
        <w:tc>
          <w:tcPr/>
          <w:p>
            <w:pPr>
              <w:pStyle w:val="Compact"/>
              <w:jc w:val="left"/>
            </w:pPr>
            <w:r>
              <w:t xml:space="preserve">Mechatronics Engineer – Junior (testing &amp; documentation)</w:t>
            </w:r>
          </w:p>
        </w:tc>
        <w:tc>
          <w:tcPr/>
          <w:p>
            <w:pPr>
              <w:pStyle w:val="Compact"/>
              <w:jc w:val="left"/>
            </w:pPr>
            <w:r>
              <w:t xml:space="preserve">1,100 / hr</w:t>
            </w:r>
          </w:p>
        </w:tc>
        <w:tc>
          <w:tcPr/>
          <w:p>
            <w:pPr>
              <w:pStyle w:val="Compact"/>
              <w:jc w:val="left"/>
            </w:pPr>
            <w:r>
              <w:t xml:space="preserve">120 hrs</w:t>
            </w:r>
          </w:p>
        </w:tc>
        <w:tc>
          <w:tcPr/>
          <w:p>
            <w:pPr>
              <w:pStyle w:val="Compact"/>
              <w:jc w:val="left"/>
            </w:pPr>
            <w:r>
              <w:t xml:space="preserve">132,000</w:t>
            </w:r>
          </w:p>
        </w:tc>
      </w:tr>
      <w:tr>
        <w:tc>
          <w:tcPr/>
          <w:p>
            <w:pPr>
              <w:pStyle w:val="Compact"/>
              <w:jc w:val="left"/>
            </w:pPr>
            <w:r>
              <w:t xml:space="preserve">4.3</w:t>
            </w:r>
          </w:p>
        </w:tc>
        <w:tc>
          <w:tcPr/>
          <w:p>
            <w:pPr>
              <w:pStyle w:val="Compact"/>
              <w:jc w:val="left"/>
            </w:pPr>
            <w:r>
              <w:t xml:space="preserve">On-site commissioning travel within Israel Tel Aviv metro area</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18,500</w:t>
            </w:r>
          </w:p>
        </w:tc>
      </w:tr>
      <w:tr>
        <w:tc>
          <w:tcPr/>
          <w:p>
            <w:pPr>
              <w:pStyle w:val="Compact"/>
              <w:jc w:val="left"/>
            </w:pPr>
            <w:r>
              <w:t xml:space="preserve">4.4</w:t>
            </w:r>
          </w:p>
        </w:tc>
        <w:tc>
          <w:tcPr/>
          <w:p>
            <w:pPr>
              <w:pStyle w:val="Compact"/>
              <w:jc w:val="left"/>
            </w:pPr>
            <w:r>
              <w:t xml:space="preserve">Specialized software licenses (SolidWorks, MATLAB, LabVIEW)</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24,000</w:t>
            </w:r>
          </w:p>
        </w:tc>
      </w:tr>
      <w:tr>
        <w:tc>
          <w:tcPr/>
          <w:p>
            <w:pPr>
              <w:pStyle w:val="Compact"/>
              <w:jc w:val="left"/>
            </w:pPr>
            <w:r>
              <w:t xml:space="preserve">4.5</w:t>
            </w:r>
          </w:p>
        </w:tc>
        <w:tc>
          <w:tcPr/>
          <w:p>
            <w:pPr>
              <w:pStyle w:val="Compact"/>
              <w:jc w:val="left"/>
            </w:pPr>
            <w:r>
              <w:t xml:space="preserve">Prototype materials and consumables (client-supplied components excluded)</w:t>
            </w:r>
          </w:p>
        </w:tc>
        <w:tc>
          <w:tcPr/>
          <w:p>
            <w:pPr>
              <w:pStyle w:val="Compact"/>
              <w:jc w:val="left"/>
            </w:pPr>
            <w:r>
              <w:t xml:space="preserve">Estimated</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4.6</w:t>
            </w:r>
          </w:p>
        </w:tc>
        <w:tc>
          <w:tcPr/>
          <w:p>
            <w:pPr>
              <w:pStyle w:val="Compact"/>
              <w:jc w:val="left"/>
            </w:pPr>
            <w:r>
              <w:t xml:space="preserve">Technical documentation and as-built package preparation</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4.7</w:t>
            </w:r>
          </w:p>
        </w:tc>
        <w:tc>
          <w:tcPr/>
          <w:p>
            <w:pPr>
              <w:pStyle w:val="Compact"/>
              <w:jc w:val="left"/>
            </w:pPr>
            <w:r>
              <w:t xml:space="preserve">Post-commissioning support (90 days, remote + 2 on-site visits)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32,000</w:t>
            </w:r>
          </w:p>
        </w:tc>
      </w:tr>
      <w:tr>
        <w:tc>
          <w:tcPr>
            <w:gridSpan w:val="4"/>
          </w:tcPr>
          <w:p>
            <w:pPr>
              <w:pStyle w:val="Compact"/>
              <w:jc w:val="left"/>
            </w:pPr>
            <w:r>
              <w:t xml:space="preserve">Subtotal</w:t>
            </w:r>
          </w:p>
        </w:tc>
        <w:tc>
          <w:tcPr/>
          <w:p>
            <w:pPr>
              <w:pStyle w:val="Compact"/>
              <w:jc w:val="left"/>
            </w:pPr>
            <w:r>
              <w:t xml:space="preserve">713,500</w:t>
            </w:r>
          </w:p>
        </w:tc>
      </w:tr>
      <w:tr>
        <w:tc>
          <w:tcPr>
            <w:gridSpan w:val="4"/>
          </w:tcPr>
          <w:p>
            <w:pPr>
              <w:pStyle w:val="Compact"/>
              <w:jc w:val="left"/>
            </w:pPr>
            <w:r>
              <w:t xml:space="preserve">VAT (18%)</w:t>
            </w:r>
          </w:p>
        </w:tc>
        <w:tc>
          <w:tcPr/>
          <w:p>
            <w:pPr>
              <w:pStyle w:val="Compact"/>
              <w:jc w:val="left"/>
            </w:pPr>
            <w:r>
              <w:t xml:space="preserve">128,430</w:t>
            </w:r>
          </w:p>
        </w:tc>
      </w:tr>
      <w:tr>
        <w:tc>
          <w:tcPr>
            <w:gridSpan w:val="4"/>
          </w:tcPr>
          <w:p>
            <w:pPr>
              <w:pStyle w:val="Compact"/>
              <w:jc w:val="left"/>
            </w:pPr>
            <w:r>
              <w:rPr>
                <w:bCs/>
                <w:b/>
              </w:rPr>
              <w:t xml:space="preserve">TOTAL AMOUNT DUE (ILS)</w:t>
            </w:r>
          </w:p>
        </w:tc>
        <w:tc>
          <w:tcPr/>
          <w:p>
            <w:pPr>
              <w:pStyle w:val="Compact"/>
              <w:jc w:val="left"/>
            </w:pPr>
            <w:r>
              <w:rPr>
                <w:bCs/>
                <w:b/>
              </w:rPr>
              <w:t xml:space="preserve">841,930</w:t>
            </w:r>
          </w:p>
        </w:tc>
      </w:tr>
    </w:tbl>
    <w:p>
      <w:pPr>
        <w:pStyle w:val="BodyText"/>
      </w:pPr>
      <w:r>
        <w:rPr>
          <w:bCs/>
          <w:b/>
        </w:rPr>
        <w:t xml:space="preserve">Note:</w:t>
      </w:r>
      <w:r>
        <w:t xml:space="preserve"> </w:t>
      </w:r>
      <w:r>
        <w:t xml:space="preserve">This Quotation Estimate assumes that all major hardware components (motors, encoders, industrial PLCs, servo drives) will be procured directly by the client. Should the client request that the Mechatronics Engineer manage procurement on their behalf, an additional 8% handling surcharge will be applied to the component cost. All prices are exclusive of import duties unless the components are sourced domestically within Israel Tel Aviv or the broader Israeli market.</w:t>
      </w:r>
    </w:p>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(ILS)</w:t>
            </w:r>
          </w:p>
        </w:tc>
        <w:tc>
          <w:tcPr/>
          <w:p>
            <w:pPr>
              <w:pStyle w:val="Compact"/>
              <w:jc w:val="left"/>
            </w:pPr>
            <w:r>
              <w:t xml:space="preserve">Due Date</w:t>
            </w:r>
          </w:p>
        </w:tc>
      </w:tr>
      <w:tr>
        <w:tc>
          <w:tcPr/>
          <w:p>
            <w:pPr>
              <w:pStyle w:val="Compact"/>
              <w:jc w:val="left"/>
            </w:pPr>
            <w:r>
              <w:t xml:space="preserve">Contract signing &amp; project kickoff</w:t>
            </w:r>
          </w:p>
        </w:tc>
        <w:tc>
          <w:tcPr/>
          <w:p>
            <w:pPr>
              <w:pStyle w:val="Compact"/>
              <w:jc w:val="left"/>
            </w:pPr>
            <w:r>
              <w:t xml:space="preserve">30%</w:t>
            </w:r>
          </w:p>
        </w:tc>
        <w:tc>
          <w:tcPr/>
          <w:p>
            <w:pPr>
              <w:pStyle w:val="Compact"/>
              <w:jc w:val="left"/>
            </w:pPr>
            <w:r>
              <w:t xml:space="preserve">252,579</w:t>
            </w:r>
          </w:p>
        </w:tc>
        <w:tc>
          <w:tcPr/>
          <w:p>
            <w:pPr>
              <w:pStyle w:val="Compact"/>
              <w:jc w:val="left"/>
            </w:pPr>
            <w:r>
              <w:t xml:space="preserve">Upon signing</w:t>
            </w:r>
          </w:p>
        </w:tc>
      </w:tr>
      <w:tr>
        <w:tc>
          <w:tcPr/>
          <w:p>
            <w:pPr>
              <w:pStyle w:val="Compact"/>
              <w:jc w:val="left"/>
            </w:pPr>
            <w:r>
              <w:t xml:space="preserve">Completion of Phase 2 (design &amp; fabrication)</w:t>
            </w:r>
          </w:p>
        </w:tc>
        <w:tc>
          <w:tcPr/>
          <w:p>
            <w:pPr>
              <w:pStyle w:val="Compact"/>
              <w:jc w:val="left"/>
            </w:pPr>
            <w:r>
              <w:t xml:space="preserve">30%</w:t>
            </w:r>
          </w:p>
        </w:tc>
        <w:tc>
          <w:tcPr/>
          <w:p>
            <w:pPr>
              <w:pStyle w:val="Compact"/>
              <w:jc w:val="left"/>
            </w:pPr>
            <w:r>
              <w:t xml:space="preserve">252,579</w:t>
            </w:r>
          </w:p>
        </w:tc>
        <w:tc>
          <w:tcPr/>
          <w:p>
            <w:pPr>
              <w:pStyle w:val="Compact"/>
              <w:jc w:val="left"/>
            </w:pPr>
            <w:r>
              <w:t xml:space="preserve">End of Week 8</w:t>
            </w:r>
          </w:p>
        </w:tc>
      </w:tr>
      <w:tr>
        <w:tc>
          <w:tcPr/>
          <w:p>
            <w:pPr>
              <w:pStyle w:val="Compact"/>
              <w:jc w:val="left"/>
            </w:pPr>
            <w:r>
              <w:t xml:space="preserve">Completion of Phase 4 (commissioning in Israel Tel Aviv)</w:t>
            </w:r>
          </w:p>
        </w:tc>
        <w:tc>
          <w:tcPr/>
          <w:p>
            <w:pPr>
              <w:pStyle w:val="Compact"/>
              <w:jc w:val="left"/>
            </w:pPr>
            <w:r>
              <w:t xml:space="preserve">30%</w:t>
            </w:r>
          </w:p>
        </w:tc>
        <w:tc>
          <w:tcPr/>
          <w:p>
            <w:pPr>
              <w:pStyle w:val="Compact"/>
              <w:jc w:val="left"/>
            </w:pPr>
            <w:r>
              <w:t xml:space="preserve">252,579</w:t>
            </w:r>
          </w:p>
        </w:tc>
        <w:tc>
          <w:tcPr/>
          <w:p>
            <w:pPr>
              <w:pStyle w:val="Compact"/>
              <w:jc w:val="left"/>
            </w:pPr>
            <w:r>
              <w:t xml:space="preserve">End of Week 14</w:t>
            </w:r>
          </w:p>
        </w:tc>
      </w:tr>
      <w:tr>
        <w:tc>
          <w:tcPr/>
          <w:p>
            <w:pPr>
              <w:pStyle w:val="Compact"/>
              <w:jc w:val="left"/>
            </w:pPr>
            <w:r>
              <w:t xml:space="preserve">Final acceptance &amp; documentation handover</w:t>
            </w:r>
          </w:p>
        </w:tc>
        <w:tc>
          <w:tcPr/>
          <w:p>
            <w:pPr>
              <w:pStyle w:val="Compact"/>
              <w:jc w:val="left"/>
            </w:pPr>
            <w:r>
              <w:t xml:space="preserve">10%</w:t>
            </w:r>
          </w:p>
        </w:tc>
        <w:tc>
          <w:tcPr/>
          <w:p>
            <w:pPr>
              <w:pStyle w:val="Compact"/>
              <w:jc w:val="left"/>
            </w:pPr>
            <w:r>
              <w:t xml:space="preserve">84,193</w:t>
            </w:r>
          </w:p>
        </w:tc>
        <w:tc>
          <w:tcPr/>
          <w:p>
            <w:pPr>
              <w:pStyle w:val="Compact"/>
              <w:jc w:val="left"/>
            </w:pPr>
            <w:r>
              <w:t xml:space="preserve">End of Week 15</w:t>
            </w:r>
          </w:p>
        </w:tc>
      </w:tr>
    </w:tbl>
    <w:bookmarkEnd w:id="25"/>
    <w:bookmarkStart w:id="26" w:name="assumptions-and-exclusions"/>
    <w:p>
      <w:pPr>
        <w:pStyle w:val="Heading2"/>
      </w:pPr>
      <w:r>
        <w:t xml:space="preserve">6. Assumptions and Exclusions</w:t>
      </w:r>
    </w:p>
    <w:p>
      <w:pPr>
        <w:numPr>
          <w:ilvl w:val="0"/>
          <w:numId w:val="1002"/>
        </w:numPr>
        <w:pStyle w:val="Compact"/>
      </w:pPr>
      <w:r>
        <w:t xml:space="preserve">This Quotation Estimate is based on the project requirements as communicated by the client during the initial consultation held in Tel Aviv on 2 June 2025.</w:t>
      </w:r>
    </w:p>
    <w:p>
      <w:pPr>
        <w:numPr>
          <w:ilvl w:val="0"/>
          <w:numId w:val="1002"/>
        </w:numPr>
        <w:pStyle w:val="Compact"/>
      </w:pPr>
      <w:r>
        <w:t xml:space="preserve">Any scope changes exceeding 10% of the originally defined deliverables will require a revised Quotation Estimate and mutual written approval before additional work commences.</w:t>
      </w:r>
    </w:p>
    <w:p>
      <w:pPr>
        <w:numPr>
          <w:ilvl w:val="0"/>
          <w:numId w:val="1002"/>
        </w:numPr>
        <w:pStyle w:val="Compact"/>
      </w:pPr>
      <w:r>
        <w:t xml:space="preserve">The Mechatronics Engineer's availability is confirmed for a 15-week engagement period. Extension beyond this period will be billed at the hourly rates specified in Section 4.</w:t>
      </w:r>
    </w:p>
    <w:p>
      <w:pPr>
        <w:numPr>
          <w:ilvl w:val="0"/>
          <w:numId w:val="1002"/>
        </w:numPr>
        <w:pStyle w:val="Compact"/>
      </w:pPr>
      <w:r>
        <w:t xml:space="preserve">Client-provided premises in Israel Tel Aviv must be equipped with adequate power supply (230V/50Hz), compressed air, and safe working conditions as per Israeli occupational health and safety regulations.</w:t>
      </w:r>
    </w:p>
    <w:p>
      <w:pPr>
        <w:numPr>
          <w:ilvl w:val="0"/>
          <w:numId w:val="1002"/>
        </w:numPr>
        <w:pStyle w:val="Compact"/>
      </w:pPr>
      <w:r>
        <w:t xml:space="preserve">Intellectual property developed specifically for the client under this engagement shall transfer to the client upon full payment, as stipulated in the master service agreement.</w:t>
      </w:r>
    </w:p>
    <w:bookmarkEnd w:id="26"/>
    <w:bookmarkStart w:id="27" w:name="terms-and-conditions"/>
    <w:p>
      <w:pPr>
        <w:pStyle w:val="Heading2"/>
      </w:pPr>
      <w:r>
        <w:t xml:space="preserve">7. Terms and Conditions</w:t>
      </w:r>
    </w:p>
    <w:p>
      <w:pPr>
        <w:pStyle w:val="FirstParagraph"/>
      </w:pPr>
      <w:r>
        <w:t xml:space="preserve">7.1 This Quotation Estimate is valid for thirty (30) calendar days from the date of issue. After the expiry date, pricing may be subject to revision due to market fluctuations in component costs or changes in applicable Israeli tax regulations.</w:t>
      </w:r>
    </w:p>
    <w:p>
      <w:pPr>
        <w:pStyle w:val="BodyText"/>
      </w:pPr>
      <w:r>
        <w:t xml:space="preserve">7.2 All work performed under this engagement shall be governed by the laws of the State of Israel. Any disputes arising from this Quotation Estimate or the resulting contract shall be subject to the exclusive jurisdiction of the competent courts in Tel Aviv, Israel.</w:t>
      </w:r>
    </w:p>
    <w:p>
      <w:pPr>
        <w:pStyle w:val="BodyText"/>
      </w:pPr>
      <w:r>
        <w:t xml:space="preserve">7.3 The Mechatronics Engineer and Levant Engineering Solutions Ltd. shall maintain professional indemnity insurance with a minimum coverage of ILS 2,000,000 for the duration of the project.</w:t>
      </w:r>
    </w:p>
    <w:p>
      <w:pPr>
        <w:pStyle w:val="BodyText"/>
      </w:pPr>
      <w:r>
        <w:t xml:space="preserve">7.4 Confidentiality: Both parties agree to treat all technical data, proprietary designs, and business information exchanged during the project as strictly confidential. This obligation survives the termination of the contract for a period of three (3) years.</w:t>
      </w:r>
    </w:p>
    <w:p>
      <w:pPr>
        <w:pStyle w:val="BodyText"/>
      </w:pPr>
      <w:r>
        <w:t xml:space="preserve">7.5 Force Majeure: Neither party shall be liable for delays caused by events beyond reasonable control, including but not limited to natural disasters, government-mandated shutdowns, or supply chain disruptions affecting the Israel Tel Aviv region.</w:t>
      </w:r>
    </w:p>
    <w:bookmarkEnd w:id="27"/>
    <w:bookmarkStart w:id="28" w:name="acceptance"/>
    <w:p>
      <w:pPr>
        <w:pStyle w:val="Heading2"/>
      </w:pPr>
      <w:r>
        <w:t xml:space="preserve">8. Acceptance</w:t>
      </w:r>
    </w:p>
    <w:p>
      <w:pPr>
        <w:pStyle w:val="FirstParagraph"/>
      </w:pPr>
      <w:r>
        <w:t xml:space="preserve">By signing below, the client acknowledges receipt of this Quotation Estimate and agrees to the scope, pricing, and terms outlined herein. Upon countersignature by both parties, this document shall constitute a binding agreement for the engagement of the Mechatronics Engineer services described above.</w:t>
      </w:r>
    </w:p>
    <w:bookmarkEnd w:id="28"/>
    <w:p>
      <w:pPr>
        <w:pStyle w:val="BodyText"/>
      </w:pPr>
      <w:r>
        <w:rPr>
          <w:bCs/>
          <w:b/>
        </w:rPr>
        <w:t xml:space="preserve">For Levant Engineering Solutions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 2025 Levant Engineering Solutions Ltd. | Israel Tel Aviv | All Rights Reserved</w:t>
      </w:r>
      <w:r>
        <w:br/>
      </w:r>
      <w:r>
        <w:t xml:space="preserve">This Quotation Estimate is a confidential document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Israel Tel Aviv</dc:title>
  <dc:creator/>
  <dc:language>en</dc:language>
  <cp:keywords/>
  <dcterms:created xsi:type="dcterms:W3CDTF">2026-10-10T03:01:48Z</dcterms:created>
  <dcterms:modified xsi:type="dcterms:W3CDTF">2026-10-10T03:01:48Z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