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quotation-estimate"/>
    <w:p>
      <w:pPr>
        <w:pStyle w:val="Heading1"/>
      </w:pPr>
      <w:r>
        <w:t xml:space="preserve">QUOTATION ESTIMATE</w:t>
      </w:r>
    </w:p>
    <w:p>
      <w:pPr>
        <w:pStyle w:val="FirstParagraph"/>
      </w:pPr>
      <w:r>
        <w:t xml:space="preserve">Professional Mechatronics Engineering Services</w:t>
      </w:r>
    </w:p>
    <w:p>
      <w:pPr>
        <w:pStyle w:val="BodyText"/>
      </w:pPr>
      <w:r>
        <w:t xml:space="preserve">Prepared for Clients in Malaysia Kuala Lumpur</w:t>
      </w:r>
    </w:p>
    <w:bookmarkEnd w:id="20"/>
    <w:p>
      <w:pPr>
        <w:pStyle w:val="BodyText"/>
      </w:pPr>
      <w:r>
        <w:rPr>
          <w:bCs/>
          <w:b/>
        </w:rPr>
        <w:t xml:space="preserve">Quotation No.:</w:t>
      </w:r>
      <w:r>
        <w:t xml:space="preserve"> </w:t>
      </w:r>
      <w:r>
        <w:t xml:space="preserve">QTE-ME-2025-KL-0047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Malaysia Kuala Lumpur</w:t>
      </w:r>
    </w:p>
    <w:bookmarkStart w:id="21" w:name="issuing-company-details"/>
    <w:p>
      <w:pPr>
        <w:pStyle w:val="Heading2"/>
      </w:pPr>
      <w:r>
        <w:t xml:space="preserve">1. Issuing Company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Apex Mechatronics Solutions Sdn. Bhd.</w:t>
            </w:r>
          </w:p>
        </w:tc>
      </w:tr>
      <w:tr>
        <w:tc>
          <w:tcPr/>
          <w:p>
            <w:pPr>
              <w:pStyle w:val="Compact"/>
              <w:jc w:val="left"/>
            </w:pPr>
            <w:r>
              <w:rPr>
                <w:bCs/>
                <w:b/>
              </w:rPr>
              <w:t xml:space="preserve">Address:</w:t>
            </w:r>
          </w:p>
        </w:tc>
        <w:tc>
          <w:tcPr/>
          <w:p>
            <w:pPr>
              <w:pStyle w:val="Compact"/>
              <w:jc w:val="left"/>
            </w:pPr>
            <w:r>
              <w:t xml:space="preserve">Level 12, Menara KL, Jalan Sultan Ismail, 50250 Malaysia Kuala Lumpur, Federal Territory of Kuala Lumpur, Malaysia</w:t>
            </w:r>
          </w:p>
        </w:tc>
      </w:tr>
      <w:tr>
        <w:tc>
          <w:tcPr/>
          <w:p>
            <w:pPr>
              <w:pStyle w:val="Compact"/>
              <w:jc w:val="left"/>
            </w:pPr>
            <w:r>
              <w:rPr>
                <w:bCs/>
                <w:b/>
              </w:rPr>
              <w:t xml:space="preserve">Registration No.:</w:t>
            </w:r>
          </w:p>
        </w:tc>
        <w:tc>
          <w:tcPr/>
          <w:p>
            <w:pPr>
              <w:pStyle w:val="Compact"/>
              <w:jc w:val="left"/>
            </w:pPr>
            <w:r>
              <w:t xml:space="preserve">201901045678 (M)</w:t>
            </w:r>
          </w:p>
        </w:tc>
      </w:tr>
      <w:tr>
        <w:tc>
          <w:tcPr/>
          <w:p>
            <w:pPr>
              <w:pStyle w:val="Compact"/>
              <w:jc w:val="left"/>
            </w:pPr>
            <w:r>
              <w:rPr>
                <w:bCs/>
                <w:b/>
              </w:rPr>
              <w:t xml:space="preserve">Contact:</w:t>
            </w:r>
          </w:p>
        </w:tc>
        <w:tc>
          <w:tcPr/>
          <w:p>
            <w:pPr>
              <w:pStyle w:val="Compact"/>
              <w:jc w:val="left"/>
            </w:pPr>
            <w:r>
              <w:t xml:space="preserve">quotation@apexmechatronics.my | +60 3-2180 4567</w:t>
            </w:r>
          </w:p>
        </w:tc>
      </w:tr>
      <w:tr>
        <w:tc>
          <w:tcPr/>
          <w:p>
            <w:pPr>
              <w:pStyle w:val="Compact"/>
              <w:jc w:val="left"/>
            </w:pPr>
            <w:r>
              <w:rPr>
                <w:bCs/>
                <w:b/>
              </w:rPr>
              <w:t xml:space="preserve">Lead Consultant:</w:t>
            </w:r>
          </w:p>
        </w:tc>
        <w:tc>
          <w:tcPr/>
          <w:p>
            <w:pPr>
              <w:pStyle w:val="Compact"/>
              <w:jc w:val="left"/>
            </w:pPr>
            <w:r>
              <w:t xml:space="preserve">Eng. Ahmad Faizal bin Rahman, Senior Mechatronics Engineer (BEM Registered)</w:t>
            </w:r>
          </w:p>
        </w:tc>
      </w:tr>
    </w:tbl>
    <w:bookmarkEnd w:id="21"/>
    <w:bookmarkStart w:id="22" w:name="client-recipient-details"/>
    <w:p>
      <w:pPr>
        <w:pStyle w:val="Heading2"/>
      </w:pPr>
      <w:r>
        <w:t xml:space="preserve">2. Client / Recipient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[Client Company Name]</w:t>
            </w:r>
          </w:p>
        </w:tc>
      </w:tr>
      <w:tr>
        <w:tc>
          <w:tcPr/>
          <w:p>
            <w:pPr>
              <w:pStyle w:val="Compact"/>
              <w:jc w:val="left"/>
            </w:pPr>
            <w:r>
              <w:rPr>
                <w:bCs/>
                <w:b/>
              </w:rPr>
              <w:t xml:space="preserve">Address:</w:t>
            </w:r>
          </w:p>
        </w:tc>
        <w:tc>
          <w:tcPr/>
          <w:p>
            <w:pPr>
              <w:pStyle w:val="Compact"/>
              <w:jc w:val="left"/>
            </w:pPr>
            <w:r>
              <w:t xml:space="preserve">[Client Address], Malaysia Kuala Lumpur</w:t>
            </w:r>
          </w:p>
        </w:tc>
      </w:tr>
      <w:tr>
        <w:tc>
          <w:tcPr/>
          <w:p>
            <w:pPr>
              <w:pStyle w:val="Compact"/>
              <w:jc w:val="left"/>
            </w:pPr>
            <w:r>
              <w:rPr>
                <w:bCs/>
                <w:b/>
              </w:rPr>
              <w:t xml:space="preserve">Attention:</w:t>
            </w:r>
          </w:p>
        </w:tc>
        <w:tc>
          <w:tcPr/>
          <w:p>
            <w:pPr>
              <w:pStyle w:val="Compact"/>
              <w:jc w:val="left"/>
            </w:pPr>
            <w:r>
              <w:t xml:space="preserve">[Contact Person Name], Project Manager</w:t>
            </w:r>
          </w:p>
        </w:tc>
      </w:tr>
      <w:tr>
        <w:tc>
          <w:tcPr/>
          <w:p>
            <w:pPr>
              <w:pStyle w:val="Compact"/>
              <w:jc w:val="left"/>
            </w:pPr>
            <w:r>
              <w:rPr>
                <w:bCs/>
                <w:b/>
              </w:rPr>
              <w:t xml:space="preserve">Project Reference:</w:t>
            </w:r>
          </w:p>
        </w:tc>
        <w:tc>
          <w:tcPr/>
          <w:p>
            <w:pPr>
              <w:pStyle w:val="Compact"/>
              <w:jc w:val="left"/>
            </w:pPr>
            <w:r>
              <w:t xml:space="preserve">Automated Production Line Upgrade – Phase II</w:t>
            </w:r>
          </w:p>
        </w:tc>
      </w:tr>
    </w:tbl>
    <w:bookmarkEnd w:id="22"/>
    <w:bookmarkStart w:id="23" w:name="Xbd1e2d33486c37068aa6134a884d697173a8f36"/>
    <w:p>
      <w:pPr>
        <w:pStyle w:val="Heading2"/>
      </w:pPr>
      <w:r>
        <w:t xml:space="preserve">3. Scope of Work – Mechatronics Engineer Services</w:t>
      </w:r>
    </w:p>
    <w:p>
      <w:pPr>
        <w:pStyle w:val="FirstParagraph"/>
      </w:pPr>
      <w:r>
        <w:t xml:space="preserve">This</w:t>
      </w:r>
      <w:r>
        <w:t xml:space="preserve"> </w:t>
      </w:r>
      <w:r>
        <w:t xml:space="preserve">Quotation Estimate</w:t>
      </w:r>
      <w:r>
        <w:t xml:space="preserve"> </w:t>
      </w:r>
      <w:r>
        <w:t xml:space="preserve">is issued by Apex Mechatronics Solutions Sdn. Bhd. to provide comprehensive</w:t>
      </w:r>
      <w:r>
        <w:t xml:space="preserve"> </w:t>
      </w:r>
      <w:r>
        <w:t xml:space="preserve">Mechatronics Engineer</w:t>
      </w:r>
      <w:r>
        <w:t xml:space="preserve"> </w:t>
      </w:r>
      <w:r>
        <w:t xml:space="preserve">consultancy and implementation services for the client's automated production line upgrade project located in</w:t>
      </w:r>
      <w:r>
        <w:t xml:space="preserve"> </w:t>
      </w:r>
      <w:r>
        <w:t xml:space="preserve">Malaysia Kuala Lumpur</w:t>
      </w:r>
      <w:r>
        <w:t xml:space="preserve">. The scope encompasses the full lifecycle of mechatronic system design, integration, commissioning, and post-deployment support. Our team of certified</w:t>
      </w:r>
      <w:r>
        <w:t xml:space="preserve"> </w:t>
      </w:r>
      <w:r>
        <w:t xml:space="preserve">Mechatronics Engineer</w:t>
      </w:r>
      <w:r>
        <w:t xml:space="preserve"> </w:t>
      </w:r>
      <w:r>
        <w:t xml:space="preserve">professionals will work directly on-site at the client's facility in the Kuala Lumpur industrial corridor to ensure seamless integration with existing infrastructure.</w:t>
      </w:r>
    </w:p>
    <w:p>
      <w:pPr>
        <w:pStyle w:val="BodyText"/>
      </w:pPr>
      <w:r>
        <w:t xml:space="preserve">The services outlined in this</w:t>
      </w:r>
      <w:r>
        <w:t xml:space="preserve"> </w:t>
      </w:r>
      <w:r>
        <w:t xml:space="preserve">Quotation Estimate</w:t>
      </w:r>
      <w:r>
        <w:t xml:space="preserve"> </w:t>
      </w:r>
      <w:r>
        <w:t xml:space="preserve">are specifically tailored to meet the regulatory and industrial standards applicable in</w:t>
      </w:r>
      <w:r>
        <w:t xml:space="preserve"> </w:t>
      </w:r>
      <w:r>
        <w:t xml:space="preserve">Malaysia Kuala Lumpur</w:t>
      </w:r>
      <w:r>
        <w:t xml:space="preserve">, including compliance with DOSH (Department of Occupational Safety and Health) guidelines, SIRIM certification requirements, and local electrical safety codes. The</w:t>
      </w:r>
      <w:r>
        <w:t xml:space="preserve"> </w:t>
      </w:r>
      <w:r>
        <w:t xml:space="preserve">Mechatronics Engineer</w:t>
      </w:r>
      <w:r>
        <w:t xml:space="preserve"> </w:t>
      </w:r>
      <w:r>
        <w:t xml:space="preserve">team will coordinate with the client's in-house operations staff throughout the project duration to minimise production downtime.</w:t>
      </w:r>
    </w:p>
    <w:bookmarkEnd w:id="23"/>
    <w:bookmarkStart w:id="24" w:name="itemised-cost-breakdown"/>
    <w:p>
      <w:pPr>
        <w:pStyle w:val="Heading2"/>
      </w:pPr>
      <w:r>
        <w:t xml:space="preserve">4.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(MYR)</w:t>
            </w:r>
          </w:p>
        </w:tc>
        <w:tc>
          <w:tcPr/>
          <w:p>
            <w:pPr>
              <w:pStyle w:val="Compact"/>
              <w:jc w:val="left"/>
            </w:pPr>
            <w:r>
              <w:t xml:space="preserve">Amount (MYR)</w:t>
            </w:r>
          </w:p>
        </w:tc>
      </w:tr>
      <w:tr>
        <w:tc>
          <w:tcPr/>
          <w:p>
            <w:pPr>
              <w:pStyle w:val="Compact"/>
              <w:jc w:val="left"/>
            </w:pPr>
            <w:r>
              <w:t xml:space="preserve">01</w:t>
            </w:r>
          </w:p>
        </w:tc>
        <w:tc>
          <w:tcPr/>
          <w:p>
            <w:pPr>
              <w:pStyle w:val="Compact"/>
              <w:jc w:val="left"/>
            </w:pPr>
            <w:r>
              <w:t xml:space="preserve">Initial site survey and feasibility assessment by Senior Mechatronics Engineer at client facility, Malaysia Kuala Lumpur</w:t>
            </w:r>
          </w:p>
        </w:tc>
        <w:tc>
          <w:tcPr/>
          <w:p>
            <w:pPr>
              <w:pStyle w:val="Compact"/>
              <w:jc w:val="left"/>
            </w:pPr>
            <w:r>
              <w:t xml:space="preserve">3 days</w:t>
            </w:r>
          </w:p>
        </w:tc>
        <w:tc>
          <w:tcPr/>
          <w:p>
            <w:pPr>
              <w:pStyle w:val="Compact"/>
              <w:jc w:val="left"/>
            </w:pPr>
            <w:r>
              <w:t xml:space="preserve">2,500 / day</w:t>
            </w:r>
          </w:p>
        </w:tc>
        <w:tc>
          <w:tcPr/>
          <w:p>
            <w:pPr>
              <w:pStyle w:val="Compact"/>
              <w:jc w:val="left"/>
            </w:pPr>
            <w:r>
              <w:t xml:space="preserve">7,500.00</w:t>
            </w:r>
          </w:p>
        </w:tc>
      </w:tr>
      <w:tr>
        <w:tc>
          <w:tcPr/>
          <w:p>
            <w:pPr>
              <w:pStyle w:val="Compact"/>
              <w:jc w:val="left"/>
            </w:pPr>
            <w:r>
              <w:t xml:space="preserve">02</w:t>
            </w:r>
          </w:p>
        </w:tc>
        <w:tc>
          <w:tcPr/>
          <w:p>
            <w:pPr>
              <w:pStyle w:val="Compact"/>
              <w:jc w:val="left"/>
            </w:pPr>
            <w:r>
              <w:t xml:space="preserve">System architecture design and CAD modelling of mechatronic assembly (PLC, servo drives, HMI, sensor networks)</w:t>
            </w:r>
          </w:p>
        </w:tc>
        <w:tc>
          <w:tcPr/>
          <w:p>
            <w:pPr>
              <w:pStyle w:val="Compact"/>
              <w:jc w:val="left"/>
            </w:pPr>
            <w:r>
              <w:t xml:space="preserve">15 days</w:t>
            </w:r>
          </w:p>
        </w:tc>
        <w:tc>
          <w:tcPr/>
          <w:p>
            <w:pPr>
              <w:pStyle w:val="Compact"/>
              <w:jc w:val="left"/>
            </w:pPr>
            <w:r>
              <w:t xml:space="preserve">3,200 / day</w:t>
            </w:r>
          </w:p>
        </w:tc>
        <w:tc>
          <w:tcPr/>
          <w:p>
            <w:pPr>
              <w:pStyle w:val="Compact"/>
              <w:jc w:val="left"/>
            </w:pPr>
            <w:r>
              <w:t xml:space="preserve">48,000.00</w:t>
            </w:r>
          </w:p>
        </w:tc>
      </w:tr>
      <w:tr>
        <w:tc>
          <w:tcPr/>
          <w:p>
            <w:pPr>
              <w:pStyle w:val="Compact"/>
              <w:jc w:val="left"/>
            </w:pPr>
            <w:r>
              <w:t xml:space="preserve">03</w:t>
            </w:r>
          </w:p>
        </w:tc>
        <w:tc>
          <w:tcPr/>
          <w:p>
            <w:pPr>
              <w:pStyle w:val="Compact"/>
              <w:jc w:val="left"/>
            </w:pPr>
            <w:r>
              <w:t xml:space="preserve">Procurement coordination and quality verification of mechatronic components (motors, encoders, actuators, controllers)</w:t>
            </w:r>
          </w:p>
        </w:tc>
        <w:tc>
          <w:tcPr/>
          <w:p>
            <w:pPr>
              <w:pStyle w:val="Compact"/>
              <w:jc w:val="left"/>
            </w:pPr>
            <w:r>
              <w:t xml:space="preserve">10 days</w:t>
            </w:r>
          </w:p>
        </w:tc>
        <w:tc>
          <w:tcPr/>
          <w:p>
            <w:pPr>
              <w:pStyle w:val="Compact"/>
              <w:jc w:val="left"/>
            </w:pPr>
            <w:r>
              <w:t xml:space="preserve">1,800 / day</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On-site installation and mechanical-electrical integration by Mechatronics Engineer team (4 engineers)</w:t>
            </w:r>
          </w:p>
        </w:tc>
        <w:tc>
          <w:tcPr/>
          <w:p>
            <w:pPr>
              <w:pStyle w:val="Compact"/>
              <w:jc w:val="left"/>
            </w:pPr>
            <w:r>
              <w:t xml:space="preserve">20 days</w:t>
            </w:r>
          </w:p>
        </w:tc>
        <w:tc>
          <w:tcPr/>
          <w:p>
            <w:pPr>
              <w:pStyle w:val="Compact"/>
              <w:jc w:val="left"/>
            </w:pPr>
            <w:r>
              <w:t xml:space="preserve">12,000 / day</w:t>
            </w:r>
          </w:p>
        </w:tc>
        <w:tc>
          <w:tcPr/>
          <w:p>
            <w:pPr>
              <w:pStyle w:val="Compact"/>
              <w:jc w:val="left"/>
            </w:pPr>
            <w:r>
              <w:t xml:space="preserve">240,000.00</w:t>
            </w:r>
          </w:p>
        </w:tc>
      </w:tr>
      <w:tr>
        <w:tc>
          <w:tcPr/>
          <w:p>
            <w:pPr>
              <w:pStyle w:val="Compact"/>
              <w:jc w:val="left"/>
            </w:pPr>
            <w:r>
              <w:t xml:space="preserve">05</w:t>
            </w:r>
          </w:p>
        </w:tc>
        <w:tc>
          <w:tcPr/>
          <w:p>
            <w:pPr>
              <w:pStyle w:val="Compact"/>
              <w:jc w:val="left"/>
            </w:pPr>
            <w:r>
              <w:t xml:space="preserve">PLC programming, HMI configuration, and SCADA system deployment</w:t>
            </w:r>
          </w:p>
        </w:tc>
        <w:tc>
          <w:tcPr/>
          <w:p>
            <w:pPr>
              <w:pStyle w:val="Compact"/>
              <w:jc w:val="left"/>
            </w:pPr>
            <w:r>
              <w:t xml:space="preserve">12 days</w:t>
            </w:r>
          </w:p>
        </w:tc>
        <w:tc>
          <w:tcPr/>
          <w:p>
            <w:pPr>
              <w:pStyle w:val="Compact"/>
              <w:jc w:val="left"/>
            </w:pPr>
            <w:r>
              <w:t xml:space="preserve">3,500 / day</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Commissioning, performance testing, and FAT/SAT documentation</w:t>
            </w:r>
          </w:p>
        </w:tc>
        <w:tc>
          <w:tcPr/>
          <w:p>
            <w:pPr>
              <w:pStyle w:val="Compact"/>
              <w:jc w:val="left"/>
            </w:pPr>
            <w:r>
              <w:t xml:space="preserve">8 days</w:t>
            </w:r>
          </w:p>
        </w:tc>
        <w:tc>
          <w:tcPr/>
          <w:p>
            <w:pPr>
              <w:pStyle w:val="Compact"/>
              <w:jc w:val="left"/>
            </w:pPr>
            <w:r>
              <w:t xml:space="preserve">2,800 / day</w:t>
            </w:r>
          </w:p>
        </w:tc>
        <w:tc>
          <w:tcPr/>
          <w:p>
            <w:pPr>
              <w:pStyle w:val="Compact"/>
              <w:jc w:val="left"/>
            </w:pPr>
            <w:r>
              <w:t xml:space="preserve">22,400.00</w:t>
            </w:r>
          </w:p>
        </w:tc>
      </w:tr>
      <w:tr>
        <w:tc>
          <w:tcPr/>
          <w:p>
            <w:pPr>
              <w:pStyle w:val="Compact"/>
              <w:jc w:val="left"/>
            </w:pPr>
            <w:r>
              <w:t xml:space="preserve">07</w:t>
            </w:r>
          </w:p>
        </w:tc>
        <w:tc>
          <w:tcPr/>
          <w:p>
            <w:pPr>
              <w:pStyle w:val="Compact"/>
              <w:jc w:val="left"/>
            </w:pPr>
            <w:r>
              <w:t xml:space="preserve">Operator training programme (2 sessions, up to 15 personnel per session) conducted in Malaysia Kuala Lumpur</w:t>
            </w:r>
          </w:p>
        </w:tc>
        <w:tc>
          <w:tcPr/>
          <w:p>
            <w:pPr>
              <w:pStyle w:val="Compact"/>
              <w:jc w:val="left"/>
            </w:pPr>
            <w:r>
              <w:t xml:space="preserve">2 days</w:t>
            </w:r>
          </w:p>
        </w:tc>
        <w:tc>
          <w:tcPr/>
          <w:p>
            <w:pPr>
              <w:pStyle w:val="Compact"/>
              <w:jc w:val="left"/>
            </w:pPr>
            <w:r>
              <w:t xml:space="preserve">4,500 / day</w:t>
            </w:r>
          </w:p>
        </w:tc>
        <w:tc>
          <w:tcPr/>
          <w:p>
            <w:pPr>
              <w:pStyle w:val="Compact"/>
              <w:jc w:val="left"/>
            </w:pPr>
            <w:r>
              <w:t xml:space="preserve">9,000.00</w:t>
            </w:r>
          </w:p>
        </w:tc>
      </w:tr>
      <w:tr>
        <w:tc>
          <w:tcPr/>
          <w:p>
            <w:pPr>
              <w:pStyle w:val="Compact"/>
              <w:jc w:val="left"/>
            </w:pPr>
            <w:r>
              <w:t xml:space="preserve">08</w:t>
            </w:r>
          </w:p>
        </w:tc>
        <w:tc>
          <w:tcPr/>
          <w:p>
            <w:pPr>
              <w:pStyle w:val="Compact"/>
              <w:jc w:val="left"/>
            </w:pPr>
            <w:r>
              <w:t xml:space="preserve">Post-commissioning warranty support and remote diagnostics (12 months)</w:t>
            </w:r>
          </w:p>
        </w:tc>
        <w:tc>
          <w:tcPr/>
          <w:p>
            <w:pPr>
              <w:pStyle w:val="Compact"/>
              <w:jc w:val="left"/>
            </w:pPr>
            <w:r>
              <w:t xml:space="preserve">12 months</w:t>
            </w:r>
          </w:p>
        </w:tc>
        <w:tc>
          <w:tcPr/>
          <w:p>
            <w:pPr>
              <w:pStyle w:val="Compact"/>
              <w:jc w:val="left"/>
            </w:pPr>
            <w:r>
              <w:t xml:space="preserve">Flat rate</w:t>
            </w:r>
          </w:p>
        </w:tc>
        <w:tc>
          <w:tcPr/>
          <w:p>
            <w:pPr>
              <w:pStyle w:val="Compact"/>
              <w:jc w:val="left"/>
            </w:pPr>
            <w:r>
              <w:t xml:space="preserve">35,000.00</w:t>
            </w:r>
          </w:p>
        </w:tc>
      </w:tr>
      <w:tr>
        <w:tc>
          <w:tcPr/>
          <w:p>
            <w:pPr>
              <w:pStyle w:val="Compact"/>
              <w:jc w:val="left"/>
            </w:pPr>
            <w:r>
              <w:t xml:space="preserve">09</w:t>
            </w:r>
          </w:p>
        </w:tc>
        <w:tc>
          <w:tcPr/>
          <w:p>
            <w:pPr>
              <w:pStyle w:val="Compact"/>
              <w:jc w:val="left"/>
            </w:pPr>
            <w:r>
              <w:t xml:space="preserve">Travel, accommodation, and local transport for Mechatronics Engineer team within Malaysia Kuala Lumpur</w:t>
            </w:r>
          </w:p>
        </w:tc>
        <w:tc>
          <w:tcPr/>
          <w:p>
            <w:pPr>
              <w:pStyle w:val="Compact"/>
              <w:jc w:val="left"/>
            </w:pPr>
            <w:r>
              <w:t xml:space="preserve">Project duration</w:t>
            </w:r>
          </w:p>
        </w:tc>
        <w:tc>
          <w:tcPr/>
          <w:p>
            <w:pPr>
              <w:pStyle w:val="Compact"/>
              <w:jc w:val="left"/>
            </w:pPr>
            <w:r>
              <w:t xml:space="preserve">Flat rate</w:t>
            </w:r>
          </w:p>
        </w:tc>
        <w:tc>
          <w:tcPr/>
          <w:p>
            <w:pPr>
              <w:pStyle w:val="Compact"/>
              <w:jc w:val="left"/>
            </w:pPr>
            <w:r>
              <w:t xml:space="preserve">15,000.00</w:t>
            </w:r>
          </w:p>
        </w:tc>
      </w:tr>
      <w:tr>
        <w:tc>
          <w:tcPr>
            <w:gridSpan w:val="4"/>
          </w:tcPr>
          <w:p>
            <w:pPr>
              <w:pStyle w:val="Compact"/>
              <w:jc w:val="left"/>
            </w:pPr>
            <w:r>
              <w:t xml:space="preserve">Subtotal (MYR)</w:t>
            </w:r>
          </w:p>
        </w:tc>
        <w:tc>
          <w:tcPr/>
          <w:p>
            <w:pPr>
              <w:pStyle w:val="Compact"/>
              <w:jc w:val="left"/>
            </w:pPr>
            <w:r>
              <w:t xml:space="preserve">436,900.00</w:t>
            </w:r>
          </w:p>
        </w:tc>
      </w:tr>
      <w:tr>
        <w:tc>
          <w:tcPr>
            <w:gridSpan w:val="4"/>
          </w:tcPr>
          <w:p>
            <w:pPr>
              <w:pStyle w:val="Compact"/>
              <w:jc w:val="left"/>
            </w:pPr>
            <w:r>
              <w:t xml:space="preserve">SST @ 8% (Malaysia Sales and Service Tax)</w:t>
            </w:r>
          </w:p>
        </w:tc>
        <w:tc>
          <w:tcPr/>
          <w:p>
            <w:pPr>
              <w:pStyle w:val="Compact"/>
              <w:jc w:val="left"/>
            </w:pPr>
            <w:r>
              <w:t xml:space="preserve">34,952.00</w:t>
            </w:r>
          </w:p>
        </w:tc>
      </w:tr>
      <w:tr>
        <w:tc>
          <w:tcPr>
            <w:gridSpan w:val="4"/>
          </w:tcPr>
          <w:p>
            <w:pPr>
              <w:pStyle w:val="Compact"/>
              <w:jc w:val="left"/>
            </w:pPr>
            <w:r>
              <w:rPr>
                <w:bCs/>
                <w:b/>
              </w:rPr>
              <w:t xml:space="preserve">TOTAL AMOUNT DUE (MYR)</w:t>
            </w:r>
          </w:p>
        </w:tc>
        <w:tc>
          <w:tcPr/>
          <w:p>
            <w:pPr>
              <w:pStyle w:val="Compact"/>
              <w:jc w:val="left"/>
            </w:pPr>
            <w:r>
              <w:rPr>
                <w:bCs/>
                <w:b/>
              </w:rPr>
              <w:t xml:space="preserve">471,852.00</w:t>
            </w:r>
          </w:p>
        </w:tc>
      </w:tr>
    </w:tbl>
    <w:bookmarkEnd w:id="24"/>
    <w:bookmarkStart w:id="25" w:name="payment-terms"/>
    <w:p>
      <w:pPr>
        <w:pStyle w:val="Heading2"/>
      </w:pPr>
      <w:r>
        <w:t xml:space="preserve">5. Payment Terms</w:t>
      </w:r>
    </w:p>
    <w:p>
      <w:pPr>
        <w:numPr>
          <w:ilvl w:val="0"/>
          <w:numId w:val="1001"/>
        </w:numPr>
        <w:pStyle w:val="Compact"/>
      </w:pPr>
      <w:r>
        <w:rPr>
          <w:bCs/>
          <w:b/>
        </w:rPr>
        <w:t xml:space="preserve">30% Advance Payment:</w:t>
      </w:r>
      <w:r>
        <w:t xml:space="preserve"> </w:t>
      </w:r>
      <w:r>
        <w:t xml:space="preserve">MYR 141,555.60 – Due upon acceptance of this Quotation Estimate and execution of the service agreement.</w:t>
      </w:r>
    </w:p>
    <w:p>
      <w:pPr>
        <w:numPr>
          <w:ilvl w:val="0"/>
          <w:numId w:val="1001"/>
        </w:numPr>
        <w:pStyle w:val="Compact"/>
      </w:pPr>
      <w:r>
        <w:rPr>
          <w:bCs/>
          <w:b/>
        </w:rPr>
        <w:t xml:space="preserve">40% Milestone Payment:</w:t>
      </w:r>
      <w:r>
        <w:t xml:space="preserve"> </w:t>
      </w:r>
      <w:r>
        <w:t xml:space="preserve">MYR 188,740.80 – Due upon completion of on-site installation and integration (Item 04).</w:t>
      </w:r>
    </w:p>
    <w:p>
      <w:pPr>
        <w:numPr>
          <w:ilvl w:val="0"/>
          <w:numId w:val="1001"/>
        </w:numPr>
        <w:pStyle w:val="Compact"/>
      </w:pPr>
      <w:r>
        <w:rPr>
          <w:bCs/>
          <w:b/>
        </w:rPr>
        <w:t xml:space="preserve">20% Commissioning Payment:</w:t>
      </w:r>
      <w:r>
        <w:t xml:space="preserve"> </w:t>
      </w:r>
      <w:r>
        <w:t xml:space="preserve">MYR 94,370.40 – Due upon successful completion of FAT/SAT and handover of documentation.</w:t>
      </w:r>
    </w:p>
    <w:p>
      <w:pPr>
        <w:numPr>
          <w:ilvl w:val="0"/>
          <w:numId w:val="1001"/>
        </w:numPr>
        <w:pStyle w:val="Compact"/>
      </w:pPr>
      <w:r>
        <w:rPr>
          <w:bCs/>
          <w:b/>
        </w:rPr>
        <w:t xml:space="preserve">10% Retention:</w:t>
      </w:r>
      <w:r>
        <w:t xml:space="preserve"> </w:t>
      </w:r>
      <w:r>
        <w:t xml:space="preserve">MYR 47,185.60 – Due 90 days after final acceptance, subject to satisfactory warranty performance.</w:t>
      </w:r>
    </w:p>
    <w:p>
      <w:pPr>
        <w:pStyle w:val="FirstParagraph"/>
      </w:pPr>
      <w:r>
        <w:t xml:space="preserve">All payments shall be made via bank transfer to the account of Apex Mechatronics Solutions Sdn. Bhd. Payment terms are net 14 days from the date of invoice. Late payments shall attract interest at 2% per month as per Malaysian commercial practice.</w:t>
      </w:r>
    </w:p>
    <w:bookmarkEnd w:id="25"/>
    <w:bookmarkStart w:id="26" w:name="terms-and-conditions"/>
    <w:p>
      <w:pPr>
        <w:pStyle w:val="Heading2"/>
      </w:pPr>
      <w:r>
        <w:t xml:space="preserve">6. Terms and Conditions</w:t>
      </w:r>
    </w:p>
    <w:p>
      <w:pPr>
        <w:numPr>
          <w:ilvl w:val="0"/>
          <w:numId w:val="1002"/>
        </w:numPr>
        <w:pStyle w:val="Compact"/>
      </w:pPr>
      <w:r>
        <w:t xml:space="preserve">This Quotation Estimate is valid for thirty (30) calendar days from the date of issue. Beyond this period, pricing may be revised due to fluctuating component costs in the Malaysia Kuala Lumpur market.</w:t>
      </w:r>
    </w:p>
    <w:p>
      <w:pPr>
        <w:numPr>
          <w:ilvl w:val="0"/>
          <w:numId w:val="1002"/>
        </w:numPr>
        <w:pStyle w:val="Compact"/>
      </w:pPr>
      <w:r>
        <w:t xml:space="preserve">All Mechatronics Engineer personnel assigned to this project shall hold valid BEM (Board of Engineers Malaysia) registration and appropriate competency certificates.</w:t>
      </w:r>
    </w:p>
    <w:p>
      <w:pPr>
        <w:numPr>
          <w:ilvl w:val="0"/>
          <w:numId w:val="1002"/>
        </w:numPr>
        <w:pStyle w:val="Compact"/>
      </w:pPr>
      <w:r>
        <w:t xml:space="preserve">The client shall provide safe access to the project site in Malaysia Kuala Lumpur, including necessary permits, scaffolding, and utility connections as required for installation work.</w:t>
      </w:r>
    </w:p>
    <w:p>
      <w:pPr>
        <w:numPr>
          <w:ilvl w:val="0"/>
          <w:numId w:val="1002"/>
        </w:numPr>
        <w:pStyle w:val="Compact"/>
      </w:pPr>
      <w:r>
        <w:t xml:space="preserve">Any changes to the scope of work beyond the parameters defined in this Quotation Estimate shall be subject to a formal variation order and additional cost assessment.</w:t>
      </w:r>
    </w:p>
    <w:p>
      <w:pPr>
        <w:numPr>
          <w:ilvl w:val="0"/>
          <w:numId w:val="1002"/>
        </w:numPr>
        <w:pStyle w:val="Compact"/>
      </w:pPr>
      <w:r>
        <w:t xml:space="preserve">Intellectual property rights for all custom PLC code, HMI designs, and system architectures developed under this engagement shall vest with the client upon full payment.</w:t>
      </w:r>
    </w:p>
    <w:p>
      <w:pPr>
        <w:numPr>
          <w:ilvl w:val="0"/>
          <w:numId w:val="1002"/>
        </w:numPr>
        <w:pStyle w:val="Compact"/>
      </w:pPr>
      <w:r>
        <w:t xml:space="preserve">This Quotation Estimate does not constitute a binding contract until both parties have executed the formal Service Agreement document.</w:t>
      </w:r>
    </w:p>
    <w:p>
      <w:pPr>
        <w:numPr>
          <w:ilvl w:val="0"/>
          <w:numId w:val="1002"/>
        </w:numPr>
        <w:pStyle w:val="Compact"/>
      </w:pPr>
      <w:r>
        <w:t xml:space="preserve">Disputes arising from this engagement shall be resolved through mediation in Malaysia Kuala Lumpur in accordance with the Mediation Act 2012 of Malaysia.</w:t>
      </w:r>
    </w:p>
    <w:p>
      <w:pPr>
        <w:numPr>
          <w:ilvl w:val="0"/>
          <w:numId w:val="1002"/>
        </w:numPr>
        <w:pStyle w:val="Compact"/>
      </w:pPr>
      <w:r>
        <w:t xml:space="preserve">The Mechatronics Engineer team shall adhere to all occupational safety standards as mandated by DOSH and the client's internal HSE policies throughout the project duration.</w:t>
      </w:r>
    </w:p>
    <w:bookmarkEnd w:id="26"/>
    <w:bookmarkStart w:id="27" w:name="acceptance-and-authorisation"/>
    <w:p>
      <w:pPr>
        <w:pStyle w:val="Heading2"/>
      </w:pPr>
      <w:r>
        <w:t xml:space="preserve">7. Acceptance and Authorisation</w:t>
      </w:r>
    </w:p>
    <w:p>
      <w:pPr>
        <w:pStyle w:val="FirstParagraph"/>
      </w:pPr>
      <w:r>
        <w:t xml:space="preserve">By signing below, the client acknowledges receipt of this Quotation Estimate and agrees to the terms, conditions, and pricing outlined herein for the provision of Mechatronics Engineer services in Malaysia Kuala Lumpur.</w:t>
      </w:r>
    </w:p>
    <w:p>
      <w:pPr>
        <w:pStyle w:val="BodyText"/>
      </w:pPr>
      <w:r>
        <w:rPr>
          <w:bCs/>
          <w:b/>
        </w:rPr>
        <w:t xml:space="preserve">For and on behalf of:</w:t>
      </w:r>
      <w:r>
        <w:br/>
      </w:r>
      <w:r>
        <w:t xml:space="preserve">Apex Mechatronics Solutions Sdn. Bhd.</w:t>
      </w:r>
      <w:r>
        <w:br/>
      </w:r>
      <w:r>
        <w:t xml:space="preserve">Name: Eng. Ahmad Faizal bin Rahman</w:t>
      </w:r>
      <w:r>
        <w:br/>
      </w:r>
      <w:r>
        <w:t xml:space="preserve">Designation: Senior Mechatronics Engineer / Director</w:t>
      </w:r>
      <w:r>
        <w:br/>
      </w:r>
      <w:r>
        <w:t xml:space="preserve">Date: _______________</w:t>
      </w:r>
    </w:p>
    <w:p>
      <w:pPr>
        <w:pStyle w:val="BodyText"/>
      </w:pPr>
      <w:r>
        <w:rPr>
          <w:bCs/>
          <w:b/>
        </w:rPr>
        <w:t xml:space="preserve">Accepted by (Client):</w:t>
      </w:r>
      <w:r>
        <w:br/>
      </w:r>
      <w:r>
        <w:t xml:space="preserve">[Client Company Name]</w:t>
      </w:r>
      <w:r>
        <w:br/>
      </w:r>
      <w:r>
        <w:t xml:space="preserve">Name: _________________________</w:t>
      </w:r>
      <w:r>
        <w:br/>
      </w:r>
      <w:r>
        <w:t xml:space="preserve">Designation: _________________________</w:t>
      </w:r>
      <w:r>
        <w:br/>
      </w:r>
      <w:r>
        <w:t xml:space="preserve">Date: _______________</w:t>
      </w:r>
    </w:p>
    <w:p>
      <w:pPr>
        <w:pStyle w:val="BodyText"/>
      </w:pPr>
      <w:r>
        <w:t xml:space="preserve">Apex Mechatronics Solutions Sdn. Bhd. | Level 12, Menara KL, Jalan Sultan Ismail, 50250 Malaysia Kuala Lumpur, Malaysia</w:t>
      </w:r>
    </w:p>
    <w:p>
      <w:pPr>
        <w:pStyle w:val="BodyText"/>
      </w:pPr>
      <w:r>
        <w:t xml:space="preserve">Quotation Estimate No. QTE-ME-2025-KL-0047 | This document is confidential and intended solely for the named recipient.</w:t>
      </w:r>
    </w:p>
    <w:p>
      <w:pPr>
        <w:pStyle w:val="BodyText"/>
      </w:pPr>
      <w:r>
        <w:t xml:space="preserve">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Malaysia Kuala Lumpur</dc:title>
  <dc:creator/>
  <dc:language>en</dc:language>
  <cp:keywords/>
  <dcterms:created xsi:type="dcterms:W3CDTF">2026-10-10T03:43:22Z</dcterms:created>
  <dcterms:modified xsi:type="dcterms:W3CDTF">2026-10-10T03:43:22Z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