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Mechatronics</w:t>
      </w:r>
      <w:r>
        <w:t xml:space="preserve"> </w:t>
      </w:r>
      <w:r>
        <w:t xml:space="preserve">Engineer</w:t>
      </w:r>
      <w:r>
        <w:t xml:space="preserve"> </w:t>
      </w:r>
      <w:r>
        <w:t xml:space="preserve">Services</w:t>
      </w:r>
      <w:r>
        <w:t xml:space="preserve"> </w:t>
      </w:r>
      <w:r>
        <w:t xml:space="preserve">-</w:t>
      </w:r>
      <w:r>
        <w:t xml:space="preserve"> </w:t>
      </w:r>
      <w:r>
        <w:t xml:space="preserve">Myanmar</w:t>
      </w:r>
      <w:r>
        <w:t xml:space="preserve"> </w:t>
      </w:r>
      <w:r>
        <w:t xml:space="preserve">Yangon</w:t>
      </w:r>
    </w:p>
    <w:bookmarkStart w:id="20" w:name="quotation-estimate"/>
    <w:p>
      <w:pPr>
        <w:pStyle w:val="Heading1"/>
      </w:pPr>
      <w:r>
        <w:t xml:space="preserve">QUOTATION ESTIMATE</w:t>
      </w:r>
    </w:p>
    <w:p>
      <w:pPr>
        <w:pStyle w:val="FirstParagraph"/>
      </w:pPr>
      <w:r>
        <w:rPr>
          <w:bCs/>
          <w:b/>
        </w:rPr>
        <w:t xml:space="preserve">Yangon Industrial Automation &amp; Engineering Co., Ltd.</w:t>
      </w:r>
    </w:p>
    <w:p>
      <w:pPr>
        <w:pStyle w:val="BodyText"/>
      </w:pPr>
      <w:r>
        <w:t xml:space="preserve">No. 45, 27th Street, Hledan Township, Yangon, Myanmar</w:t>
      </w:r>
    </w:p>
    <w:p>
      <w:pPr>
        <w:pStyle w:val="BodyText"/>
      </w:pPr>
      <w:r>
        <w:t xml:space="preserve">Tel: +95-9-795-123-456 | Email: info@yangonindustrial.com.mm</w:t>
      </w:r>
    </w:p>
    <w:p>
      <w:pPr>
        <w:pStyle w:val="BodyText"/>
      </w:pPr>
      <w:r>
        <w:t xml:space="preserve">MECHATRONICS ENGINEER SERVICES</w:t>
      </w:r>
    </w:p>
    <w:bookmarkEnd w:id="20"/>
    <w:p>
      <w:pPr>
        <w:pStyle w:val="BodyText"/>
      </w:pPr>
      <w:r>
        <w:rPr>
          <w:bCs/>
          <w:b/>
        </w:rPr>
        <w:t xml:space="preserve">Quotation No.:</w:t>
      </w:r>
      <w:r>
        <w:t xml:space="preserve"> </w:t>
      </w:r>
      <w:r>
        <w:t xml:space="preserve">QE-MY-2025-00847</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Myanmar Yangon Manufacturing Group</w:t>
      </w:r>
      <w:r>
        <w:br/>
      </w:r>
      <w:r>
        <w:t xml:space="preserve">Industrial Zone 3, Hlaing Township</w:t>
      </w:r>
      <w:r>
        <w:br/>
      </w:r>
      <w:r>
        <w:t xml:space="preserve">Yangon, Myanmar</w:t>
      </w:r>
      <w:r>
        <w:br/>
      </w:r>
      <w:r>
        <w:t xml:space="preserve">Attn: U Aung Kyaw Min (Operations Director)</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Yangon Industrial Automation &amp; Engineering Co., Ltd. to provide a comprehensive cost breakdown for the engagement of a senior</w:t>
      </w:r>
      <w:r>
        <w:t xml:space="preserve"> </w:t>
      </w:r>
      <w:r>
        <w:t xml:space="preserve">Mechatronics Engineer</w:t>
      </w:r>
      <w:r>
        <w:t xml:space="preserve"> </w:t>
      </w:r>
      <w:r>
        <w:t xml:space="preserve">to deliver integrated design, implementation, and maintenance services for the client's automated production lines located in</w:t>
      </w:r>
      <w:r>
        <w:t xml:space="preserve"> </w:t>
      </w:r>
      <w:r>
        <w:t xml:space="preserve">Myanmar Yangon</w:t>
      </w:r>
      <w:r>
        <w:t xml:space="preserve">. The scope encompasses mechanical system design, electrical control architecture, embedded software programming, and ongoing technical support for a period of twelve (12) months.</w:t>
      </w:r>
    </w:p>
    <w:p>
      <w:pPr>
        <w:pStyle w:val="BodyText"/>
      </w:pPr>
      <w:r>
        <w:t xml:space="preserve">The</w:t>
      </w:r>
      <w:r>
        <w:t xml:space="preserve"> </w:t>
      </w:r>
      <w:r>
        <w:t xml:space="preserve">Mechatronics Engineer</w:t>
      </w:r>
      <w:r>
        <w:t xml:space="preserve"> </w:t>
      </w:r>
      <w:r>
        <w:t xml:space="preserve">assigned to this project will hold a minimum of eight (8) years of professional experience in industrial automation, PLC/SCADA systems, robotic integration, and precision mechanical design. The engineer will be physically stationed at the client's facility in</w:t>
      </w:r>
      <w:r>
        <w:t xml:space="preserve"> </w:t>
      </w:r>
      <w:r>
        <w:t xml:space="preserve">Myanmar Yangon</w:t>
      </w:r>
      <w:r>
        <w:t xml:space="preserve"> </w:t>
      </w:r>
      <w:r>
        <w:t xml:space="preserve">during the implementation phase and will provide remote and on-site support during the maintenance period.</w:t>
      </w:r>
    </w:p>
    <w:bookmarkEnd w:id="21"/>
    <w:bookmarkStart w:id="22"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Service / Deliverable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Total (USD)</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site assessment and feasibility study at Myanmar Yangon facility</w:t>
            </w:r>
          </w:p>
        </w:tc>
        <w:tc>
          <w:tcPr/>
          <w:p>
            <w:pPr>
              <w:pStyle w:val="Compact"/>
              <w:jc w:val="left"/>
            </w:pPr>
            <w:r>
              <w:t xml:space="preserve">5 working days</w:t>
            </w:r>
          </w:p>
        </w:tc>
        <w:tc>
          <w:tcPr/>
          <w:p>
            <w:pPr>
              <w:pStyle w:val="Compact"/>
              <w:jc w:val="left"/>
            </w:pPr>
            <w:r>
              <w:t xml:space="preserve">$1,200</w:t>
            </w:r>
          </w:p>
        </w:tc>
        <w:tc>
          <w:tcPr/>
          <w:p>
            <w:pPr>
              <w:pStyle w:val="Compact"/>
              <w:jc w:val="left"/>
            </w:pPr>
            <w:r>
              <w:t xml:space="preserve">$6,000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Mechatronics system design (mechanical, electrical, software architecture)</w:t>
            </w:r>
          </w:p>
        </w:tc>
        <w:tc>
          <w:tcPr/>
          <w:p>
            <w:pPr>
              <w:pStyle w:val="Compact"/>
              <w:jc w:val="left"/>
            </w:pPr>
            <w:r>
              <w:t xml:space="preserve">30 working days</w:t>
            </w:r>
          </w:p>
        </w:tc>
        <w:tc>
          <w:tcPr/>
          <w:p>
            <w:pPr>
              <w:pStyle w:val="Compact"/>
              <w:jc w:val="left"/>
            </w:pPr>
            <w:r>
              <w:t xml:space="preserve">$950</w:t>
            </w:r>
          </w:p>
        </w:tc>
        <w:tc>
          <w:tcPr/>
          <w:p>
            <w:pPr>
              <w:pStyle w:val="Compact"/>
              <w:jc w:val="left"/>
            </w:pPr>
            <w:r>
              <w:t xml:space="preserve">$28,500</w:t>
            </w:r>
          </w:p>
        </w:tc>
        <w:tc>
          <w:tcPr/>
          <w:p>
            <w:pPr>
              <w:pStyle w:val="Compact"/>
              <w:jc w:val="left"/>
            </w:pPr>
            <w:r>
              <w:t xml:space="preserve">Includes CAD drawings</w:t>
            </w:r>
          </w:p>
        </w:tc>
      </w:tr>
      <w:tr>
        <w:tc>
          <w:tcPr/>
          <w:p>
            <w:pPr>
              <w:pStyle w:val="Compact"/>
              <w:jc w:val="left"/>
            </w:pPr>
            <w:r>
              <w:t xml:space="preserve">3</w:t>
            </w:r>
          </w:p>
        </w:tc>
        <w:tc>
          <w:tcPr/>
          <w:p>
            <w:pPr>
              <w:pStyle w:val="Compact"/>
              <w:jc w:val="left"/>
            </w:pPr>
            <w:r>
              <w:t xml:space="preserve">PLC programming, HMI development, and SCADA integration</w:t>
            </w:r>
          </w:p>
        </w:tc>
        <w:tc>
          <w:tcPr/>
          <w:p>
            <w:pPr>
              <w:pStyle w:val="Compact"/>
              <w:jc w:val="left"/>
            </w:pPr>
            <w:r>
              <w:t xml:space="preserve">25 working days</w:t>
            </w:r>
          </w:p>
        </w:tc>
        <w:tc>
          <w:tcPr/>
          <w:p>
            <w:pPr>
              <w:pStyle w:val="Compact"/>
              <w:jc w:val="left"/>
            </w:pPr>
            <w:r>
              <w:t xml:space="preserve">$1,100</w:t>
            </w:r>
          </w:p>
        </w:tc>
        <w:tc>
          <w:tcPr/>
          <w:p>
            <w:pPr>
              <w:pStyle w:val="Compact"/>
              <w:jc w:val="left"/>
            </w:pPr>
            <w:r>
              <w:t xml:space="preserve">$27,500</w:t>
            </w:r>
          </w:p>
        </w:tc>
        <w:tc>
          <w:tcPr/>
          <w:p>
            <w:pPr>
              <w:pStyle w:val="Compact"/>
              <w:jc w:val="left"/>
            </w:pPr>
            <w:r>
              <w:t xml:space="preserve">Siemens S7-1500 platform</w:t>
            </w:r>
          </w:p>
        </w:tc>
      </w:tr>
      <w:tr>
        <w:tc>
          <w:tcPr/>
          <w:p>
            <w:pPr>
              <w:pStyle w:val="Compact"/>
              <w:jc w:val="left"/>
            </w:pPr>
            <w:r>
              <w:t xml:space="preserve">4</w:t>
            </w:r>
          </w:p>
        </w:tc>
        <w:tc>
          <w:tcPr/>
          <w:p>
            <w:pPr>
              <w:pStyle w:val="Compact"/>
              <w:jc w:val="left"/>
            </w:pPr>
            <w:r>
              <w:t xml:space="preserve">Robotic cell installation and commissioning (2-axis pick-and-place)</w:t>
            </w:r>
          </w:p>
        </w:tc>
        <w:tc>
          <w:tcPr/>
          <w:p>
            <w:pPr>
              <w:pStyle w:val="Compact"/>
              <w:jc w:val="left"/>
            </w:pPr>
            <w:r>
              <w:t xml:space="preserve">20 working days</w:t>
            </w:r>
          </w:p>
        </w:tc>
        <w:tc>
          <w:tcPr/>
          <w:p>
            <w:pPr>
              <w:pStyle w:val="Compact"/>
              <w:jc w:val="left"/>
            </w:pPr>
            <w:r>
              <w:t xml:space="preserve">$1,350</w:t>
            </w:r>
          </w:p>
        </w:tc>
        <w:tc>
          <w:tcPr/>
          <w:p>
            <w:pPr>
              <w:pStyle w:val="Compact"/>
              <w:jc w:val="left"/>
            </w:pPr>
            <w:r>
              <w:t xml:space="preserve">$27,000</w:t>
            </w:r>
          </w:p>
        </w:tc>
        <w:tc>
          <w:tcPr/>
          <w:p>
            <w:pPr>
              <w:pStyle w:val="Compact"/>
              <w:jc w:val="left"/>
            </w:pPr>
            <w:r>
              <w:t xml:space="preserve">On-site in Yangon</w:t>
            </w:r>
          </w:p>
        </w:tc>
      </w:tr>
      <w:tr>
        <w:tc>
          <w:tcPr/>
          <w:p>
            <w:pPr>
              <w:pStyle w:val="Compact"/>
              <w:jc w:val="left"/>
            </w:pPr>
            <w:r>
              <w:t xml:space="preserve">5</w:t>
            </w:r>
          </w:p>
        </w:tc>
        <w:tc>
          <w:tcPr/>
          <w:p>
            <w:pPr>
              <w:pStyle w:val="Compact"/>
              <w:jc w:val="left"/>
            </w:pPr>
            <w:r>
              <w:t xml:space="preserve">Pneumatic and hydraulic subsystem design and assembly</w:t>
            </w:r>
          </w:p>
        </w:tc>
        <w:tc>
          <w:tcPr/>
          <w:p>
            <w:pPr>
              <w:pStyle w:val="Compact"/>
              <w:jc w:val="left"/>
            </w:pPr>
            <w:r>
              <w:t xml:space="preserve">15 working days</w:t>
            </w:r>
          </w:p>
        </w:tc>
        <w:tc>
          <w:tcPr/>
          <w:p>
            <w:pPr>
              <w:pStyle w:val="Compact"/>
              <w:jc w:val="left"/>
            </w:pPr>
            <w:r>
              <w:t xml:space="preserve">$900</w:t>
            </w:r>
          </w:p>
        </w:tc>
        <w:tc>
          <w:tcPr/>
          <w:p>
            <w:pPr>
              <w:pStyle w:val="Compact"/>
              <w:jc w:val="left"/>
            </w:pPr>
            <w:r>
              <w:t xml:space="preserve">$13,500</w:t>
            </w:r>
          </w:p>
        </w:tc>
        <w:tc>
          <w:tcPr/>
          <w:p>
            <w:pPr>
              <w:pStyle w:val="Compact"/>
              <w:jc w:val="left"/>
            </w:pPr>
            <w:r>
              <w:t xml:space="preserve">Includes testing</w:t>
            </w:r>
          </w:p>
        </w:tc>
      </w:tr>
      <w:tr>
        <w:tc>
          <w:tcPr/>
          <w:p>
            <w:pPr>
              <w:pStyle w:val="Compact"/>
              <w:jc w:val="left"/>
            </w:pPr>
            <w:r>
              <w:t xml:space="preserve">6</w:t>
            </w:r>
          </w:p>
        </w:tc>
        <w:tc>
          <w:tcPr/>
          <w:p>
            <w:pPr>
              <w:pStyle w:val="Compact"/>
              <w:jc w:val="left"/>
            </w:pPr>
            <w:r>
              <w:t xml:space="preserve">Embedded firmware development for sensor arrays and actuators</w:t>
            </w:r>
          </w:p>
        </w:tc>
        <w:tc>
          <w:tcPr/>
          <w:p>
            <w:pPr>
              <w:pStyle w:val="Compact"/>
              <w:jc w:val="left"/>
            </w:pPr>
            <w:r>
              <w:t xml:space="preserve">20 working days</w:t>
            </w:r>
          </w:p>
        </w:tc>
        <w:tc>
          <w:tcPr/>
          <w:p>
            <w:pPr>
              <w:pStyle w:val="Compact"/>
              <w:jc w:val="left"/>
            </w:pPr>
            <w:r>
              <w:t xml:space="preserve">$1,050</w:t>
            </w:r>
          </w:p>
        </w:tc>
        <w:tc>
          <w:tcPr/>
          <w:p>
            <w:pPr>
              <w:pStyle w:val="Compact"/>
              <w:jc w:val="left"/>
            </w:pPr>
            <w:r>
              <w:t xml:space="preserve">$21,000</w:t>
            </w:r>
          </w:p>
        </w:tc>
        <w:tc>
          <w:tcPr/>
          <w:p>
            <w:pPr>
              <w:pStyle w:val="Compact"/>
              <w:jc w:val="left"/>
            </w:pPr>
            <w:r>
              <w:t xml:space="preserve">C/C++ / Python</w:t>
            </w:r>
          </w:p>
        </w:tc>
      </w:tr>
      <w:tr>
        <w:tc>
          <w:tcPr/>
          <w:p>
            <w:pPr>
              <w:pStyle w:val="Compact"/>
              <w:jc w:val="left"/>
            </w:pPr>
            <w:r>
              <w:t xml:space="preserve">7</w:t>
            </w:r>
          </w:p>
        </w:tc>
        <w:tc>
          <w:tcPr/>
          <w:p>
            <w:pPr>
              <w:pStyle w:val="Compact"/>
              <w:jc w:val="left"/>
            </w:pPr>
            <w:r>
              <w:t xml:space="preserve">Operator training and technical documentation handover</w:t>
            </w:r>
          </w:p>
        </w:tc>
        <w:tc>
          <w:tcPr/>
          <w:p>
            <w:pPr>
              <w:pStyle w:val="Compact"/>
              <w:jc w:val="left"/>
            </w:pPr>
            <w:r>
              <w:t xml:space="preserve">5 working days</w:t>
            </w:r>
          </w:p>
        </w:tc>
        <w:tc>
          <w:tcPr/>
          <w:p>
            <w:pPr>
              <w:pStyle w:val="Compact"/>
              <w:jc w:val="left"/>
            </w:pPr>
            <w:r>
              <w:t xml:space="preserve">$800</w:t>
            </w:r>
          </w:p>
        </w:tc>
        <w:tc>
          <w:tcPr/>
          <w:p>
            <w:pPr>
              <w:pStyle w:val="Compact"/>
              <w:jc w:val="left"/>
            </w:pPr>
            <w:r>
              <w:t xml:space="preserve">$4,000</w:t>
            </w:r>
          </w:p>
        </w:tc>
        <w:tc>
          <w:tcPr/>
          <w:p>
            <w:pPr>
              <w:pStyle w:val="Compact"/>
              <w:jc w:val="left"/>
            </w:pPr>
            <w:r>
              <w:t xml:space="preserve">Up to 12 personnel</w:t>
            </w:r>
          </w:p>
        </w:tc>
      </w:tr>
      <w:tr>
        <w:tc>
          <w:tcPr/>
          <w:p>
            <w:pPr>
              <w:pStyle w:val="Compact"/>
              <w:jc w:val="left"/>
            </w:pPr>
            <w:r>
              <w:t xml:space="preserve">8</w:t>
            </w:r>
          </w:p>
        </w:tc>
        <w:tc>
          <w:tcPr/>
          <w:p>
            <w:pPr>
              <w:pStyle w:val="Compact"/>
              <w:jc w:val="left"/>
            </w:pPr>
            <w:r>
              <w:t xml:space="preserve">Post-commissioning maintenance and technical support (12 months)</w:t>
            </w:r>
          </w:p>
        </w:tc>
        <w:tc>
          <w:tcPr/>
          <w:p>
            <w:pPr>
              <w:pStyle w:val="Compact"/>
              <w:jc w:val="left"/>
            </w:pPr>
            <w:r>
              <w:t xml:space="preserve">12 months</w:t>
            </w:r>
          </w:p>
        </w:tc>
        <w:tc>
          <w:tcPr/>
          <w:p>
            <w:pPr>
              <w:pStyle w:val="Compact"/>
              <w:jc w:val="left"/>
            </w:pPr>
            <w:r>
              <w:t xml:space="preserve">$2,500/month</w:t>
            </w:r>
          </w:p>
        </w:tc>
        <w:tc>
          <w:tcPr/>
          <w:p>
            <w:pPr>
              <w:pStyle w:val="Compact"/>
              <w:jc w:val="left"/>
            </w:pPr>
            <w:r>
              <w:t xml:space="preserve">$30,000</w:t>
            </w:r>
          </w:p>
        </w:tc>
        <w:tc>
          <w:tcPr/>
          <w:p>
            <w:pPr>
              <w:pStyle w:val="Compact"/>
              <w:jc w:val="left"/>
            </w:pPr>
            <w:r>
              <w:t xml:space="preserve">48-hr response SLA</w:t>
            </w:r>
          </w:p>
        </w:tc>
      </w:tr>
      <w:tr>
        <w:tc>
          <w:tcPr/>
          <w:p>
            <w:pPr>
              <w:pStyle w:val="Compact"/>
              <w:jc w:val="left"/>
            </w:pPr>
            <w:r>
              <w:t xml:space="preserve">9</w:t>
            </w:r>
          </w:p>
        </w:tc>
        <w:tc>
          <w:tcPr/>
          <w:p>
            <w:pPr>
              <w:pStyle w:val="Compact"/>
              <w:jc w:val="left"/>
            </w:pPr>
            <w:r>
              <w:t xml:space="preserve">Travel, accommodation, and local transport within Myanmar Yangon</w:t>
            </w:r>
          </w:p>
        </w:tc>
        <w:tc>
          <w:tcPr/>
          <w:p>
            <w:pPr>
              <w:pStyle w:val="Compact"/>
              <w:jc w:val="left"/>
            </w:pPr>
            <w:r>
              <w:t xml:space="preserve">12 months</w:t>
            </w:r>
          </w:p>
        </w:tc>
        <w:tc>
          <w:tcPr/>
          <w:p>
            <w:pPr>
              <w:pStyle w:val="Compact"/>
              <w:jc w:val="left"/>
            </w:pPr>
            <w:r>
              <w:t xml:space="preserve">$600/month</w:t>
            </w:r>
          </w:p>
        </w:tc>
        <w:tc>
          <w:tcPr/>
          <w:p>
            <w:pPr>
              <w:pStyle w:val="Compact"/>
              <w:jc w:val="left"/>
            </w:pPr>
            <w:r>
              <w:t xml:space="preserve">$7,200</w:t>
            </w:r>
          </w:p>
        </w:tc>
        <w:tc>
          <w:tcPr/>
          <w:p>
            <w:pPr>
              <w:pStyle w:val="Compact"/>
              <w:jc w:val="left"/>
            </w:pPr>
            <w:r>
              <w:t xml:space="preserve">Per diem basis</w:t>
            </w:r>
          </w:p>
        </w:tc>
      </w:tr>
      <w:tr>
        <w:tc>
          <w:tcPr/>
          <w:p>
            <w:pPr>
              <w:pStyle w:val="Compact"/>
              <w:jc w:val="left"/>
            </w:pPr>
            <w:r>
              <w:t xml:space="preserve">10</w:t>
            </w:r>
          </w:p>
        </w:tc>
        <w:tc>
          <w:tcPr/>
          <w:p>
            <w:pPr>
              <w:pStyle w:val="Compact"/>
              <w:jc w:val="left"/>
            </w:pPr>
            <w:r>
              <w:t xml:space="preserve">Project management, reporting, and client liaison</w:t>
            </w:r>
          </w:p>
        </w:tc>
        <w:tc>
          <w:tcPr/>
          <w:p>
            <w:pPr>
              <w:pStyle w:val="Compact"/>
              <w:jc w:val="left"/>
            </w:pPr>
            <w:r>
              <w:t xml:space="preserve">12 months</w:t>
            </w:r>
          </w:p>
        </w:tc>
        <w:tc>
          <w:tcPr/>
          <w:p>
            <w:pPr>
              <w:pStyle w:val="Compact"/>
              <w:jc w:val="left"/>
            </w:pPr>
            <w:r>
              <w:t xml:space="preserve">$1,500/month</w:t>
            </w:r>
          </w:p>
        </w:tc>
        <w:tc>
          <w:tcPr/>
          <w:p>
            <w:pPr>
              <w:pStyle w:val="Compact"/>
              <w:jc w:val="left"/>
            </w:pPr>
            <w:r>
              <w:t xml:space="preserve">$18,000</w:t>
            </w:r>
          </w:p>
        </w:tc>
        <w:tc>
          <w:tcPr/>
          <w:p>
            <w:pPr>
              <w:pStyle w:val="Compact"/>
              <w:jc w:val="left"/>
            </w:pPr>
            <w:r>
              <w:t xml:space="preserve">Weekly reports</w:t>
            </w:r>
          </w:p>
        </w:tc>
      </w:tr>
      <w:tr>
        <w:tc>
          <w:tcPr>
            <w:gridSpan w:val="4"/>
          </w:tcPr>
          <w:p>
            <w:pPr>
              <w:pStyle w:val="Compact"/>
              <w:jc w:val="right"/>
            </w:pPr>
            <w:r>
              <w:t xml:space="preserve">SUBTOTAL</w:t>
            </w:r>
          </w:p>
        </w:tc>
        <w:tc>
          <w:tcPr/>
          <w:p>
            <w:pPr>
              <w:pStyle w:val="Compact"/>
              <w:jc w:val="left"/>
            </w:pPr>
            <w:r>
              <w:t xml:space="preserve">$182,700</w:t>
            </w:r>
          </w:p>
        </w:tc>
        <w:tc>
          <w:tcPr/>
          <w:p>
            <w:pPr>
              <w:pStyle w:val="Compact"/>
            </w:pPr>
          </w:p>
        </w:tc>
      </w:tr>
      <w:tr>
        <w:tc>
          <w:tcPr>
            <w:gridSpan w:val="4"/>
          </w:tcPr>
          <w:p>
            <w:pPr>
              <w:pStyle w:val="Compact"/>
              <w:jc w:val="right"/>
            </w:pPr>
            <w:r>
              <w:t xml:space="preserve">Applicable Tax (5% Myanmar Service Tax)</w:t>
            </w:r>
          </w:p>
        </w:tc>
        <w:tc>
          <w:tcPr/>
          <w:p>
            <w:pPr>
              <w:pStyle w:val="Compact"/>
              <w:jc w:val="left"/>
            </w:pPr>
            <w:r>
              <w:t xml:space="preserve">$9,135</w:t>
            </w:r>
          </w:p>
        </w:tc>
        <w:tc>
          <w:tcPr/>
          <w:p>
            <w:pPr>
              <w:pStyle w:val="Compact"/>
            </w:pPr>
          </w:p>
        </w:tc>
      </w:tr>
      <w:tr>
        <w:tc>
          <w:tcPr>
            <w:gridSpan w:val="4"/>
          </w:tcPr>
          <w:p>
            <w:pPr>
              <w:pStyle w:val="Compact"/>
              <w:jc w:val="right"/>
            </w:pPr>
            <w:r>
              <w:t xml:space="preserve">GRAND TOTAL (USD)</w:t>
            </w:r>
          </w:p>
        </w:tc>
        <w:tc>
          <w:tcPr/>
          <w:p>
            <w:pPr>
              <w:pStyle w:val="Compact"/>
              <w:jc w:val="left"/>
            </w:pPr>
            <w:r>
              <w:t xml:space="preserve">$191,835</w:t>
            </w:r>
          </w:p>
        </w:tc>
        <w:tc>
          <w:tcPr/>
          <w:p>
            <w:pPr>
              <w:pStyle w:val="Compact"/>
            </w:pPr>
          </w:p>
        </w:tc>
      </w:tr>
    </w:tbl>
    <w:bookmarkEnd w:id="22"/>
    <w:bookmarkStart w:id="23" w:name="payment-schedule"/>
    <w:p>
      <w:pPr>
        <w:pStyle w:val="Heading2"/>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signing and mobilization</w:t>
            </w:r>
          </w:p>
        </w:tc>
        <w:tc>
          <w:tcPr/>
          <w:p>
            <w:pPr>
              <w:pStyle w:val="Compact"/>
              <w:jc w:val="left"/>
            </w:pPr>
            <w:r>
              <w:t xml:space="preserve">25%</w:t>
            </w:r>
          </w:p>
        </w:tc>
        <w:tc>
          <w:tcPr/>
          <w:p>
            <w:pPr>
              <w:pStyle w:val="Compact"/>
              <w:jc w:val="left"/>
            </w:pPr>
            <w:r>
              <w:t xml:space="preserve">$47,959</w:t>
            </w:r>
          </w:p>
        </w:tc>
        <w:tc>
          <w:tcPr/>
          <w:p>
            <w:pPr>
              <w:pStyle w:val="Compact"/>
              <w:jc w:val="left"/>
            </w:pPr>
            <w:r>
              <w:t xml:space="preserve">Upon acceptance</w:t>
            </w:r>
          </w:p>
        </w:tc>
      </w:tr>
      <w:tr>
        <w:tc>
          <w:tcPr/>
          <w:p>
            <w:pPr>
              <w:pStyle w:val="Compact"/>
              <w:jc w:val="left"/>
            </w:pPr>
            <w:r>
              <w:t xml:space="preserve">Design phase completion and approval</w:t>
            </w:r>
          </w:p>
        </w:tc>
        <w:tc>
          <w:tcPr/>
          <w:p>
            <w:pPr>
              <w:pStyle w:val="Compact"/>
              <w:jc w:val="left"/>
            </w:pPr>
            <w:r>
              <w:t xml:space="preserve">25%</w:t>
            </w:r>
          </w:p>
        </w:tc>
        <w:tc>
          <w:tcPr/>
          <w:p>
            <w:pPr>
              <w:pStyle w:val="Compact"/>
              <w:jc w:val="left"/>
            </w:pPr>
            <w:r>
              <w:t xml:space="preserve">$47,959</w:t>
            </w:r>
          </w:p>
        </w:tc>
        <w:tc>
          <w:tcPr/>
          <w:p>
            <w:pPr>
              <w:pStyle w:val="Compact"/>
              <w:jc w:val="left"/>
            </w:pPr>
            <w:r>
              <w:t xml:space="preserve">Day 40</w:t>
            </w:r>
          </w:p>
        </w:tc>
      </w:tr>
      <w:tr>
        <w:tc>
          <w:tcPr/>
          <w:p>
            <w:pPr>
              <w:pStyle w:val="Compact"/>
              <w:jc w:val="left"/>
            </w:pPr>
            <w:r>
              <w:t xml:space="preserve">Installation and commissioning complete</w:t>
            </w:r>
          </w:p>
        </w:tc>
        <w:tc>
          <w:tcPr/>
          <w:p>
            <w:pPr>
              <w:pStyle w:val="Compact"/>
              <w:jc w:val="left"/>
            </w:pPr>
            <w:r>
              <w:t xml:space="preserve">30%</w:t>
            </w:r>
          </w:p>
        </w:tc>
        <w:tc>
          <w:tcPr/>
          <w:p>
            <w:pPr>
              <w:pStyle w:val="Compact"/>
              <w:jc w:val="left"/>
            </w:pPr>
            <w:r>
              <w:t xml:space="preserve">$57,551</w:t>
            </w:r>
          </w:p>
        </w:tc>
        <w:tc>
          <w:tcPr/>
          <w:p>
            <w:pPr>
              <w:pStyle w:val="Compact"/>
              <w:jc w:val="left"/>
            </w:pPr>
            <w:r>
              <w:t xml:space="preserve">Day 90</w:t>
            </w:r>
          </w:p>
        </w:tc>
      </w:tr>
      <w:tr>
        <w:tc>
          <w:tcPr/>
          <w:p>
            <w:pPr>
              <w:pStyle w:val="Compact"/>
              <w:jc w:val="left"/>
            </w:pPr>
            <w:r>
              <w:t xml:space="preserve">Final acceptance and handover</w:t>
            </w:r>
          </w:p>
        </w:tc>
        <w:tc>
          <w:tcPr/>
          <w:p>
            <w:pPr>
              <w:pStyle w:val="Compact"/>
              <w:jc w:val="left"/>
            </w:pPr>
            <w:r>
              <w:t xml:space="preserve">20%</w:t>
            </w:r>
          </w:p>
        </w:tc>
        <w:tc>
          <w:tcPr/>
          <w:p>
            <w:pPr>
              <w:pStyle w:val="Compact"/>
              <w:jc w:val="left"/>
            </w:pPr>
            <w:r>
              <w:t xml:space="preserve">$38,366</w:t>
            </w:r>
          </w:p>
        </w:tc>
        <w:tc>
          <w:tcPr/>
          <w:p>
            <w:pPr>
              <w:pStyle w:val="Compact"/>
              <w:jc w:val="left"/>
            </w:pPr>
            <w:r>
              <w:t xml:space="preserve">Day 120</w:t>
            </w:r>
          </w:p>
        </w:tc>
      </w:tr>
    </w:tbl>
    <w:bookmarkEnd w:id="23"/>
    <w:bookmarkStart w:id="24" w:name="terms-and-conditions"/>
    <w:p>
      <w:pPr>
        <w:pStyle w:val="Heading2"/>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changes in scope, currency fluctuation exceeding 5%, or regulatory updates in</w:t>
      </w:r>
      <w:r>
        <w:t xml:space="preserve"> </w:t>
      </w:r>
      <w:r>
        <w:t xml:space="preserve">Myanmar Yangon</w:t>
      </w:r>
      <w:r>
        <w:t xml:space="preserve"> </w:t>
      </w:r>
      <w:r>
        <w:t xml:space="preserve">may necessitate a revised estimate.</w:t>
      </w:r>
    </w:p>
    <w:p>
      <w:pPr>
        <w:numPr>
          <w:ilvl w:val="0"/>
          <w:numId w:val="1001"/>
        </w:numPr>
        <w:pStyle w:val="Compact"/>
      </w:pPr>
      <w:r>
        <w:t xml:space="preserve">All payments shall be made in United States Dollars (USD) via bank transfer to the account designated by Yangon Industrial Automation &amp; Engineering Co., Ltd. Late payments shall incur a penalty of 1.5% per month.</w:t>
      </w:r>
    </w:p>
    <w:p>
      <w:pPr>
        <w:numPr>
          <w:ilvl w:val="0"/>
          <w:numId w:val="1001"/>
        </w:numPr>
        <w:pStyle w:val="Compact"/>
      </w:pPr>
      <w:r>
        <w:t xml:space="preserve">The</w:t>
      </w:r>
      <w:r>
        <w:t xml:space="preserve"> </w:t>
      </w:r>
      <w:r>
        <w:t xml:space="preserve">Mechatronics Engineer</w:t>
      </w:r>
      <w:r>
        <w:t xml:space="preserve"> </w:t>
      </w:r>
      <w:r>
        <w:t xml:space="preserve">shall comply with all applicable Myanmar labor laws, industrial safety regulations, and local building codes in force in</w:t>
      </w:r>
      <w:r>
        <w:t xml:space="preserve"> </w:t>
      </w:r>
      <w:r>
        <w:t xml:space="preserve">Myanmar Yangon</w:t>
      </w:r>
      <w:r>
        <w:t xml:space="preserve"> </w:t>
      </w:r>
      <w:r>
        <w:t xml:space="preserve">at the time of execution.</w:t>
      </w:r>
    </w:p>
    <w:p>
      <w:pPr>
        <w:numPr>
          <w:ilvl w:val="0"/>
          <w:numId w:val="1001"/>
        </w:numPr>
        <w:pStyle w:val="Compact"/>
      </w:pPr>
      <w:r>
        <w:t xml:space="preserve">Intellectual property developed specifically for the client under this engagement shall transfer to the client upon full payment. Pre-existing tools, libraries, and methodologies remain the property of the service provider.</w:t>
      </w:r>
    </w:p>
    <w:p>
      <w:pPr>
        <w:numPr>
          <w:ilvl w:val="0"/>
          <w:numId w:val="1001"/>
        </w:numPr>
        <w:pStyle w:val="Compact"/>
      </w:pPr>
      <w:r>
        <w:t xml:space="preserve">The maintenance SLA guarantees a maximum response time of 48 hours for critical faults and 5 business days for non-critical issues. On-site visits within</w:t>
      </w:r>
      <w:r>
        <w:t xml:space="preserve"> </w:t>
      </w:r>
      <w:r>
        <w:t xml:space="preserve">Myanmar Yangon</w:t>
      </w:r>
      <w:r>
        <w:t xml:space="preserve"> </w:t>
      </w:r>
      <w:r>
        <w:t xml:space="preserve">city limits are included; travel to other regions will be billed separately.</w:t>
      </w:r>
    </w:p>
    <w:p>
      <w:pPr>
        <w:numPr>
          <w:ilvl w:val="0"/>
          <w:numId w:val="1001"/>
        </w:numPr>
        <w:pStyle w:val="Compact"/>
      </w:pPr>
      <w:r>
        <w:t xml:space="preserve">Force majeure events, including but not limited to natural disasters, government-imposed restrictions, or supply chain disruptions affecting the</w:t>
      </w:r>
      <w:r>
        <w:t xml:space="preserve"> </w:t>
      </w:r>
      <w:r>
        <w:t xml:space="preserve">Myanmar Yangon</w:t>
      </w:r>
      <w:r>
        <w:t xml:space="preserve"> </w:t>
      </w:r>
      <w:r>
        <w:t xml:space="preserve">region, shall extend project timelines proportionally without penalty to either party.</w:t>
      </w:r>
    </w:p>
    <w:p>
      <w:pPr>
        <w:numPr>
          <w:ilvl w:val="0"/>
          <w:numId w:val="1001"/>
        </w:numPr>
        <w:pStyle w:val="Compact"/>
      </w:pPr>
      <w:r>
        <w:t xml:space="preserve">Disputes arising from this</w:t>
      </w:r>
      <w:r>
        <w:t xml:space="preserve"> </w:t>
      </w:r>
      <w:r>
        <w:t xml:space="preserve">Quotation Estimate</w:t>
      </w:r>
      <w:r>
        <w:t xml:space="preserve"> </w:t>
      </w:r>
      <w:r>
        <w:t xml:space="preserve">and subsequent contract shall be resolved through arbitration under the rules of the Myanmar Arbitration Centre, with proceedings conducted in Yangon.</w:t>
      </w:r>
    </w:p>
    <w:bookmarkEnd w:id="24"/>
    <w:bookmarkStart w:id="25" w:name="acceptance-and-authorization"/>
    <w:p>
      <w:pPr>
        <w:pStyle w:val="Heading2"/>
      </w:pPr>
      <w:r>
        <w:t xml:space="preserve">5. Acceptance and Authorization</w:t>
      </w:r>
    </w:p>
    <w:p>
      <w:pPr>
        <w:pStyle w:val="FirstParagraph"/>
      </w:pPr>
      <w:r>
        <w:t xml:space="preserve">By signing below, the client acknowledges and accepts this</w:t>
      </w:r>
      <w:r>
        <w:t xml:space="preserve"> </w:t>
      </w:r>
      <w:r>
        <w:t xml:space="preserve">Quotation Estimate</w:t>
      </w:r>
      <w:r>
        <w:t xml:space="preserve"> </w:t>
      </w:r>
      <w:r>
        <w:t xml:space="preserve">in its entirety, including all terms, conditions, and the scope of work described herein for the engagement of the</w:t>
      </w:r>
      <w:r>
        <w:t xml:space="preserve"> </w:t>
      </w:r>
      <w:r>
        <w:t xml:space="preserve">Mechatronics Engineer</w:t>
      </w:r>
      <w:r>
        <w:t xml:space="preserve"> </w:t>
      </w:r>
      <w:r>
        <w:t xml:space="preserve">at the specified</w:t>
      </w:r>
      <w:r>
        <w:t xml:space="preserve"> </w:t>
      </w:r>
      <w:r>
        <w:t xml:space="preserve">Myanmar Yangon</w:t>
      </w:r>
      <w:r>
        <w:t xml:space="preserve"> </w:t>
      </w:r>
      <w:r>
        <w:t xml:space="preserve">facility.</w:t>
      </w:r>
    </w:p>
    <w:p>
      <w:pPr>
        <w:pStyle w:val="BodyText"/>
      </w:pPr>
      <w:r>
        <w:rPr>
          <w:bCs/>
          <w:b/>
        </w:rPr>
        <w:t xml:space="preserve">For and on behalf of:</w:t>
      </w:r>
      <w:r>
        <w:br/>
      </w:r>
      <w:r>
        <w:t xml:space="preserve">Yangon Industrial Automation &amp; Engineering Co., Ltd.</w:t>
      </w:r>
    </w:p>
    <w:p>
      <w:pPr>
        <w:pStyle w:val="BodyText"/>
      </w:pPr>
      <w:r>
        <w:t xml:space="preserve">U Thura Win Aung</w:t>
      </w:r>
      <w:r>
        <w:br/>
      </w:r>
      <w:r>
        <w:t xml:space="preserve">Chief Executive Officer</w:t>
      </w:r>
    </w:p>
    <w:p>
      <w:pPr>
        <w:pStyle w:val="BodyText"/>
      </w:pPr>
      <w:r>
        <w:rPr>
          <w:bCs/>
          <w:b/>
        </w:rPr>
        <w:t xml:space="preserve">Accepted by (Client):</w:t>
      </w:r>
      <w:r>
        <w:br/>
      </w:r>
      <w:r>
        <w:t xml:space="preserve">Myanmar Yangon Manufacturing Group</w:t>
      </w:r>
    </w:p>
    <w:p>
      <w:pPr>
        <w:pStyle w:val="BodyText"/>
      </w:pPr>
      <w:r>
        <w:t xml:space="preserve">U Aung Kyaw Min</w:t>
      </w:r>
      <w:r>
        <w:br/>
      </w:r>
      <w:r>
        <w:t xml:space="preserve">Operations Director</w:t>
      </w:r>
    </w:p>
    <w:p>
      <w:pPr>
        <w:pStyle w:val="BodyText"/>
      </w:pPr>
      <w:r>
        <w:t xml:space="preserve">This Quotation Estimate document QE-MY-2025-00847 is the property of Yangon Industrial Automation &amp; Engineering Co., Ltd. Unauthorized reproduction or distribution is prohibited. All services are to be performed in compliance with Myanmar national regulations. For inquiries regarding this estimate, please contact our project office in Myanmar Yangon at +95-9-795-123-456.</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Mechatronics Engineer Services - Myanmar Yangon</dc:title>
  <dc:creator/>
  <dc:language>en</dc:language>
  <cp:keywords/>
  <dcterms:created xsi:type="dcterms:W3CDTF">2026-10-10T01:39:58Z</dcterms:created>
  <dcterms:modified xsi:type="dcterms:W3CDTF">2026-10-10T01:39:58Z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