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Prepared for Operations in Russia Moscow</w:t>
      </w:r>
    </w:p>
    <w:p>
      <w:pPr>
        <w:pStyle w:val="BodyText"/>
      </w:pPr>
      <w:r>
        <w:t xml:space="preserve">Document Reference: QE-ME-RM-2025-0472</w:t>
      </w:r>
    </w:p>
    <w:bookmarkEnd w:id="20"/>
    <w:p>
      <w:pPr>
        <w:pStyle w:val="BodyText"/>
      </w:pPr>
      <w:r>
        <w:rPr>
          <w:bCs/>
          <w:b/>
        </w:rPr>
        <w:t xml:space="preserve">Quotation Estimate No.:</w:t>
      </w:r>
      <w:r>
        <w:t xml:space="preserve"> </w:t>
      </w:r>
      <w:r>
        <w:t xml:space="preserve">QE-ME-RM-2025-0472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USD / RUB</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Service Provider</w:t>
            </w:r>
          </w:p>
        </w:tc>
        <w:tc>
          <w:tcPr/>
          <w:p>
            <w:pPr>
              <w:pStyle w:val="Compact"/>
              <w:jc w:val="left"/>
            </w:pPr>
            <w:r>
              <w:t xml:space="preserve">Global Mechatronics Solutions Ltd. — a certified engineering firm specializing in the deployment of qualified Mechatronics Engineer professionals for industrial automation, robotics integration, and control systems design.</w:t>
            </w:r>
          </w:p>
        </w:tc>
      </w:tr>
      <w:tr>
        <w:tc>
          <w:tcPr/>
          <w:p>
            <w:pPr>
              <w:pStyle w:val="Compact"/>
              <w:jc w:val="left"/>
            </w:pPr>
            <w:r>
              <w:rPr>
                <w:bCs/>
                <w:b/>
              </w:rPr>
              <w:t xml:space="preserve">Client / End User</w:t>
            </w:r>
          </w:p>
        </w:tc>
        <w:tc>
          <w:tcPr/>
          <w:p>
            <w:pPr>
              <w:pStyle w:val="Compact"/>
              <w:jc w:val="left"/>
            </w:pPr>
            <w:r>
              <w:t xml:space="preserve">Industrial Manufacturing Facility, Russia Moscow, 115035, Tverskaya Street, Building 12, Moscow, Russia</w:t>
            </w:r>
          </w:p>
        </w:tc>
      </w:tr>
      <w:tr>
        <w:tc>
          <w:tcPr/>
          <w:p>
            <w:pPr>
              <w:pStyle w:val="Compact"/>
              <w:jc w:val="left"/>
            </w:pPr>
            <w:r>
              <w:rPr>
                <w:bCs/>
                <w:b/>
              </w:rPr>
              <w:t xml:space="preserve">Project Location</w:t>
            </w:r>
          </w:p>
        </w:tc>
        <w:tc>
          <w:tcPr/>
          <w:p>
            <w:pPr>
              <w:pStyle w:val="Compact"/>
              <w:jc w:val="left"/>
            </w:pPr>
            <w:r>
              <w:t xml:space="preserve">Primary operational site in Russia Moscow with potential satellite support in adjacent industrial zones of the Moscow Oblast region.</w:t>
            </w:r>
          </w:p>
        </w:tc>
      </w:tr>
    </w:tbl>
    <w:bookmarkEnd w:id="21"/>
    <w:bookmarkStart w:id="22" w:name="Xbd1e2d33486c37068aa6134a884d697173a8f36"/>
    <w:p>
      <w:pPr>
        <w:pStyle w:val="Heading2"/>
      </w:pPr>
      <w:r>
        <w:t xml:space="preserve">2. Scope of Work — Mechatronics Engineer Services</w:t>
      </w:r>
    </w:p>
    <w:p>
      <w:pPr>
        <w:pStyle w:val="FirstParagraph"/>
      </w:pPr>
      <w:r>
        <w:t xml:space="preserve">This Quotation Estimate outlines the comprehensive professional services to be delivered by a senior</w:t>
      </w:r>
      <w:r>
        <w:t xml:space="preserve"> </w:t>
      </w:r>
      <w:r>
        <w:t xml:space="preserve">Mechatronics Engineer</w:t>
      </w:r>
      <w:r>
        <w:t xml:space="preserve"> </w:t>
      </w:r>
      <w:r>
        <w:t xml:space="preserve">engaged for a period of twelve (12) months at the client's facility in</w:t>
      </w:r>
      <w:r>
        <w:t xml:space="preserve"> </w:t>
      </w:r>
      <w:r>
        <w:t xml:space="preserve">Russia Moscow</w:t>
      </w:r>
      <w:r>
        <w:t xml:space="preserve">. The Mechatronics Engineer shall be responsible for the design, implementation, commissioning, and ongoing maintenance of integrated electromechanical systems, programmable logic controllers (PLCs), industrial robotic cells, and supervisory control and data acquisition (SCADA) platforms.</w:t>
      </w:r>
    </w:p>
    <w:p>
      <w:pPr>
        <w:pStyle w:val="BodyText"/>
      </w:pPr>
      <w:r>
        <w:t xml:space="preserve">The scope encompasses the following key deliverables:</w:t>
      </w:r>
    </w:p>
    <w:p>
      <w:pPr>
        <w:numPr>
          <w:ilvl w:val="0"/>
          <w:numId w:val="1001"/>
        </w:numPr>
        <w:pStyle w:val="Compact"/>
      </w:pPr>
      <w:r>
        <w:t xml:space="preserve">Full system architecture design for a new automated production line in the Russia Moscow facility, including mechanical, electrical, and software integration.</w:t>
      </w:r>
    </w:p>
    <w:p>
      <w:pPr>
        <w:numPr>
          <w:ilvl w:val="0"/>
          <w:numId w:val="1001"/>
        </w:numPr>
        <w:pStyle w:val="Compact"/>
      </w:pPr>
      <w:r>
        <w:t xml:space="preserve">Programming and configuration of Siemens S7-1500 PLCs and Allen-Bradley ControlLogix systems for real-time process control.</w:t>
      </w:r>
    </w:p>
    <w:p>
      <w:pPr>
        <w:numPr>
          <w:ilvl w:val="0"/>
          <w:numId w:val="1001"/>
        </w:numPr>
        <w:pStyle w:val="Compact"/>
      </w:pPr>
      <w:r>
        <w:t xml:space="preserve">Deployment and calibration of six (6) industrial robotic arms (KUKA KR 210) for welding, assembly, and quality inspection tasks.</w:t>
      </w:r>
    </w:p>
    <w:p>
      <w:pPr>
        <w:numPr>
          <w:ilvl w:val="0"/>
          <w:numId w:val="1001"/>
        </w:numPr>
        <w:pStyle w:val="Compact"/>
      </w:pPr>
      <w:r>
        <w:t xml:space="preserve">Development of a centralized SCADA monitoring dashboard accessible from the Russia Moscow headquarters control room.</w:t>
      </w:r>
    </w:p>
    <w:p>
      <w:pPr>
        <w:numPr>
          <w:ilvl w:val="0"/>
          <w:numId w:val="1001"/>
        </w:numPr>
        <w:pStyle w:val="Compact"/>
      </w:pPr>
      <w:r>
        <w:t xml:space="preserve">Preventive and predictive maintenance scheduling for all mechatronic subsystems over the contract duration.</w:t>
      </w:r>
    </w:p>
    <w:p>
      <w:pPr>
        <w:numPr>
          <w:ilvl w:val="0"/>
          <w:numId w:val="1001"/>
        </w:numPr>
        <w:pStyle w:val="Compact"/>
      </w:pPr>
      <w:r>
        <w:t xml:space="preserve">Training of up to fifteen (15) local Russian engineering staff on system operation, troubleshooting, and safety protocols.</w:t>
      </w:r>
    </w:p>
    <w:p>
      <w:pPr>
        <w:numPr>
          <w:ilvl w:val="0"/>
          <w:numId w:val="1001"/>
        </w:numPr>
        <w:pStyle w:val="Compact"/>
      </w:pPr>
      <w:r>
        <w:t xml:space="preserve">Compliance verification with GOST R standards and Russian Federal Technical Regulations applicable to industrial automation equipment.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Mechatronics Engineer — Senior (15+ yrs experience) — Monthly Professional Fee</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₽17,952,000</w:t>
            </w:r>
          </w:p>
        </w:tc>
      </w:tr>
      <w:tr>
        <w:tc>
          <w:tcPr/>
          <w:p>
            <w:pPr>
              <w:pStyle w:val="Compact"/>
              <w:jc w:val="left"/>
            </w:pPr>
            <w:r>
              <w:t xml:space="preserve">2</w:t>
            </w:r>
          </w:p>
        </w:tc>
        <w:tc>
          <w:tcPr/>
          <w:p>
            <w:pPr>
              <w:pStyle w:val="Compact"/>
              <w:jc w:val="left"/>
            </w:pPr>
            <w:r>
              <w:t xml:space="preserve">Mechatronics Engineer — Junior (5+ yrs experience) — Monthly Professional Fee</w:t>
            </w:r>
          </w:p>
        </w:tc>
        <w:tc>
          <w:tcPr/>
          <w:p>
            <w:pPr>
              <w:pStyle w:val="Compact"/>
              <w:jc w:val="left"/>
            </w:pPr>
            <w:r>
              <w:t xml:space="preserve">12 months</w:t>
            </w:r>
          </w:p>
        </w:tc>
        <w:tc>
          <w:tcPr/>
          <w:p>
            <w:pPr>
              <w:pStyle w:val="Compact"/>
              <w:jc w:val="left"/>
            </w:pPr>
            <w:r>
              <w:t xml:space="preserve">$9,200</w:t>
            </w:r>
          </w:p>
        </w:tc>
        <w:tc>
          <w:tcPr/>
          <w:p>
            <w:pPr>
              <w:pStyle w:val="Compact"/>
              <w:jc w:val="left"/>
            </w:pPr>
            <w:r>
              <w:t xml:space="preserve">$110,400</w:t>
            </w:r>
          </w:p>
        </w:tc>
        <w:tc>
          <w:tcPr/>
          <w:p>
            <w:pPr>
              <w:pStyle w:val="Compact"/>
              <w:jc w:val="left"/>
            </w:pPr>
            <w:r>
              <w:t xml:space="preserve">₽8,912,160</w:t>
            </w:r>
          </w:p>
        </w:tc>
      </w:tr>
      <w:tr>
        <w:tc>
          <w:tcPr/>
          <w:p>
            <w:pPr>
              <w:pStyle w:val="Compact"/>
              <w:jc w:val="left"/>
            </w:pPr>
            <w:r>
              <w:t xml:space="preserve">3</w:t>
            </w:r>
          </w:p>
        </w:tc>
        <w:tc>
          <w:tcPr/>
          <w:p>
            <w:pPr>
              <w:pStyle w:val="Compact"/>
              <w:jc w:val="left"/>
            </w:pPr>
            <w:r>
              <w:t xml:space="preserve">System Design &amp; Engineering Documentation (one-time)</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₽3,636,000</w:t>
            </w:r>
          </w:p>
        </w:tc>
      </w:tr>
      <w:tr>
        <w:tc>
          <w:tcPr/>
          <w:p>
            <w:pPr>
              <w:pStyle w:val="Compact"/>
              <w:jc w:val="left"/>
            </w:pPr>
            <w:r>
              <w:t xml:space="preserve">4</w:t>
            </w:r>
          </w:p>
        </w:tc>
        <w:tc>
          <w:tcPr/>
          <w:p>
            <w:pPr>
              <w:pStyle w:val="Compact"/>
              <w:jc w:val="left"/>
            </w:pPr>
            <w:r>
              <w:t xml:space="preserve">PLC Programming &amp; SCADA Integration (one-time)</w:t>
            </w:r>
          </w:p>
        </w:tc>
        <w:tc>
          <w:tcPr/>
          <w:p>
            <w:pPr>
              <w:pStyle w:val="Compact"/>
              <w:jc w:val="left"/>
            </w:pPr>
            <w:r>
              <w:t xml:space="preserve">1 lot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₽3,072,000</w:t>
            </w:r>
          </w:p>
        </w:tc>
      </w:tr>
      <w:tr>
        <w:tc>
          <w:tcPr/>
          <w:p>
            <w:pPr>
              <w:pStyle w:val="Compact"/>
              <w:jc w:val="left"/>
            </w:pPr>
            <w:r>
              <w:t xml:space="preserve">5</w:t>
            </w:r>
          </w:p>
        </w:tc>
        <w:tc>
          <w:tcPr/>
          <w:p>
            <w:pPr>
              <w:pStyle w:val="Compact"/>
              <w:jc w:val="left"/>
            </w:pPr>
            <w:r>
              <w:t xml:space="preserve">Robotic Cell Commissioning &amp; Calibration (6 units)</w:t>
            </w:r>
          </w:p>
        </w:tc>
        <w:tc>
          <w:tcPr/>
          <w:p>
            <w:pPr>
              <w:pStyle w:val="Compact"/>
              <w:jc w:val="left"/>
            </w:pPr>
            <w:r>
              <w:t xml:space="preserve">6 units</w:t>
            </w:r>
          </w:p>
        </w:tc>
        <w:tc>
          <w:tcPr/>
          <w:p>
            <w:pPr>
              <w:pStyle w:val="Compact"/>
              <w:jc w:val="left"/>
            </w:pPr>
            <w:r>
              <w:t xml:space="preserve">$7,500</w:t>
            </w:r>
          </w:p>
        </w:tc>
        <w:tc>
          <w:tcPr/>
          <w:p>
            <w:pPr>
              <w:pStyle w:val="Compact"/>
              <w:jc w:val="left"/>
            </w:pPr>
            <w:r>
              <w:t xml:space="preserve">$45,000</w:t>
            </w:r>
          </w:p>
        </w:tc>
        <w:tc>
          <w:tcPr/>
          <w:p>
            <w:pPr>
              <w:pStyle w:val="Compact"/>
              <w:jc w:val="left"/>
            </w:pPr>
            <w:r>
              <w:t xml:space="preserve">₽3,636,000</w:t>
            </w:r>
          </w:p>
        </w:tc>
      </w:tr>
      <w:tr>
        <w:tc>
          <w:tcPr/>
          <w:p>
            <w:pPr>
              <w:pStyle w:val="Compact"/>
              <w:jc w:val="left"/>
            </w:pPr>
            <w:r>
              <w:t xml:space="preserve">6</w:t>
            </w:r>
          </w:p>
        </w:tc>
        <w:tc>
          <w:tcPr/>
          <w:p>
            <w:pPr>
              <w:pStyle w:val="Compact"/>
              <w:jc w:val="left"/>
            </w:pPr>
            <w:r>
              <w:t xml:space="preserve">Staff Training Program (15 personnel, 5-day intensive)</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₽972,000</w:t>
            </w:r>
          </w:p>
        </w:tc>
      </w:tr>
      <w:tr>
        <w:tc>
          <w:tcPr/>
          <w:p>
            <w:pPr>
              <w:pStyle w:val="Compact"/>
              <w:jc w:val="left"/>
            </w:pPr>
            <w:r>
              <w:t xml:space="preserve">7</w:t>
            </w:r>
          </w:p>
        </w:tc>
        <w:tc>
          <w:tcPr/>
          <w:p>
            <w:pPr>
              <w:pStyle w:val="Compact"/>
              <w:jc w:val="left"/>
            </w:pPr>
            <w:r>
              <w:t xml:space="preserve">Travel, Accommodation &amp; Visa Support for Mechatronics Engineer team in Russia Moscow</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c>
          <w:tcPr/>
          <w:p>
            <w:pPr>
              <w:pStyle w:val="Compact"/>
              <w:jc w:val="left"/>
            </w:pPr>
            <w:r>
              <w:t xml:space="preserve">₽3,105,600</w:t>
            </w:r>
          </w:p>
        </w:tc>
      </w:tr>
      <w:tr>
        <w:tc>
          <w:tcPr/>
          <w:p>
            <w:pPr>
              <w:pStyle w:val="Compact"/>
              <w:jc w:val="left"/>
            </w:pPr>
            <w:r>
              <w:t xml:space="preserve">8</w:t>
            </w:r>
          </w:p>
        </w:tc>
        <w:tc>
          <w:tcPr/>
          <w:p>
            <w:pPr>
              <w:pStyle w:val="Compact"/>
              <w:jc w:val="left"/>
            </w:pPr>
            <w:r>
              <w:t xml:space="preserve">On-site Technical Support &amp; Emergency Response (24/7 coverage)</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c>
          <w:tcPr/>
          <w:p>
            <w:pPr>
              <w:pStyle w:val="Compact"/>
              <w:jc w:val="left"/>
            </w:pPr>
            <w:r>
              <w:t xml:space="preserve">₽2,714,400</w:t>
            </w:r>
          </w:p>
        </w:tc>
      </w:tr>
      <w:tr>
        <w:tc>
          <w:tcPr/>
          <w:p>
            <w:pPr>
              <w:pStyle w:val="Compact"/>
              <w:jc w:val="left"/>
            </w:pPr>
            <w:r>
              <w:t xml:space="preserve">9</w:t>
            </w:r>
          </w:p>
        </w:tc>
        <w:tc>
          <w:tcPr/>
          <w:p>
            <w:pPr>
              <w:pStyle w:val="Compact"/>
              <w:jc w:val="left"/>
            </w:pPr>
            <w:r>
              <w:t xml:space="preserve">Regulatory Compliance Audit — GOST R &amp; Russian Federal Standards</w:t>
            </w:r>
          </w:p>
        </w:tc>
        <w:tc>
          <w:tcPr/>
          <w:p>
            <w:pPr>
              <w:pStyle w:val="Compact"/>
              <w:jc w:val="left"/>
            </w:pPr>
            <w:r>
              <w:t xml:space="preserve">2 audits</w:t>
            </w:r>
          </w:p>
        </w:tc>
        <w:tc>
          <w:tcPr/>
          <w:p>
            <w:pPr>
              <w:pStyle w:val="Compact"/>
              <w:jc w:val="left"/>
            </w:pPr>
            <w:r>
              <w:t xml:space="preserve">$6,500</w:t>
            </w:r>
          </w:p>
        </w:tc>
        <w:tc>
          <w:tcPr/>
          <w:p>
            <w:pPr>
              <w:pStyle w:val="Compact"/>
              <w:jc w:val="left"/>
            </w:pPr>
            <w:r>
              <w:t xml:space="preserve">$13,000</w:t>
            </w:r>
          </w:p>
        </w:tc>
        <w:tc>
          <w:tcPr/>
          <w:p>
            <w:pPr>
              <w:pStyle w:val="Compact"/>
              <w:jc w:val="left"/>
            </w:pPr>
            <w:r>
              <w:t xml:space="preserve">₽1,053,000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$563,400</w:t>
            </w:r>
          </w:p>
        </w:tc>
        <w:tc>
          <w:tcPr/>
          <w:p>
            <w:pPr>
              <w:pStyle w:val="Compact"/>
              <w:jc w:val="left"/>
            </w:pPr>
            <w:r>
              <w:rPr>
                <w:bCs/>
                <w:b/>
              </w:rPr>
              <w:t xml:space="preserve">₽45,653,160</w:t>
            </w:r>
          </w:p>
        </w:tc>
      </w:tr>
    </w:tbl>
    <w:p>
      <w:pPr>
        <w:pStyle w:val="BodyText"/>
      </w:pPr>
      <w:r>
        <w:t xml:space="preserve">* Exchange rate applied: 1 USD = 81.03 RUB (Central Bank of Russia, 15 June 2025). All amounts are exclusive of applicable Russian Value Added Tax (VAT / НДС) at 20%.</w:t>
      </w:r>
    </w:p>
    <w:bookmarkEnd w:id="23"/>
    <w:bookmarkStart w:id="24" w:name="payment-terms"/>
    <w:p>
      <w:pPr>
        <w:pStyle w:val="Heading2"/>
      </w:pPr>
      <w:r>
        <w:t xml:space="preserve">4. Payment Terms</w:t>
      </w:r>
    </w:p>
    <w:p>
      <w:pPr>
        <w:numPr>
          <w:ilvl w:val="0"/>
          <w:numId w:val="1002"/>
        </w:numPr>
        <w:pStyle w:val="Compact"/>
      </w:pPr>
      <w:r>
        <w:t xml:space="preserve">30% advance payment upon acceptance of this Quotation Estimate and execution of the master service agreement.</w:t>
      </w:r>
    </w:p>
    <w:p>
      <w:pPr>
        <w:numPr>
          <w:ilvl w:val="0"/>
          <w:numId w:val="1002"/>
        </w:numPr>
        <w:pStyle w:val="Compact"/>
      </w:pPr>
      <w:r>
        <w:t xml:space="preserve">40% milestone payment upon successful commissioning of the automated production line in Russia Moscow.</w:t>
      </w:r>
    </w:p>
    <w:p>
      <w:pPr>
        <w:numPr>
          <w:ilvl w:val="0"/>
          <w:numId w:val="1002"/>
        </w:numPr>
        <w:pStyle w:val="Compact"/>
      </w:pPr>
      <w:r>
        <w:t xml:space="preserve">30% final payment upon completion of the 12-month contract term and delivery of all as-built documentation.</w:t>
      </w:r>
    </w:p>
    <w:p>
      <w:pPr>
        <w:numPr>
          <w:ilvl w:val="0"/>
          <w:numId w:val="1002"/>
        </w:numPr>
        <w:pStyle w:val="Compact"/>
      </w:pPr>
      <w:r>
        <w:t xml:space="preserve">Payments shall be made via international wire transfer to the account specified in the contract, or in Russian Rubles to the local account in Moscow as mutually agreed.</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ninety (90) days from the date of issue. Beyond this period, pricing may be subject to revision due to currency fluctuation or resource availability.</w:t>
      </w:r>
    </w:p>
    <w:p>
      <w:pPr>
        <w:numPr>
          <w:ilvl w:val="0"/>
          <w:numId w:val="1003"/>
        </w:numPr>
        <w:pStyle w:val="Compact"/>
      </w:pPr>
      <w:r>
        <w:t xml:space="preserve">The Mechatronics Engineer team shall comply with all applicable Russian labor laws, immigration regulations, and industrial safety standards while operating in Russia Moscow.</w:t>
      </w:r>
    </w:p>
    <w:p>
      <w:pPr>
        <w:numPr>
          <w:ilvl w:val="0"/>
          <w:numId w:val="1003"/>
        </w:numPr>
        <w:pStyle w:val="Compact"/>
      </w:pPr>
      <w:r>
        <w:t xml:space="preserve">Intellectual property developed specifically for the client during the engagement shall be transferred to the client upon full payment. Pre-existing proprietary methodologies remain the property of the service provider.</w:t>
      </w:r>
    </w:p>
    <w:p>
      <w:pPr>
        <w:numPr>
          <w:ilvl w:val="0"/>
          <w:numId w:val="1003"/>
        </w:numPr>
        <w:pStyle w:val="Compact"/>
      </w:pPr>
      <w:r>
        <w:t xml:space="preserve">Force majeure events, including but not limited to geopolitical disruptions affecting operations in Russia Moscow, shall be addressed per the force majeure clause of the master agreement.</w:t>
      </w:r>
    </w:p>
    <w:p>
      <w:pPr>
        <w:numPr>
          <w:ilvl w:val="0"/>
          <w:numId w:val="1003"/>
        </w:numPr>
        <w:pStyle w:val="Compact"/>
      </w:pPr>
      <w:r>
        <w:t xml:space="preserve">Any changes to the scope of work must be documented in a formal change order signed by both parties before implementation.</w:t>
      </w:r>
    </w:p>
    <w:p>
      <w:pPr>
        <w:numPr>
          <w:ilvl w:val="0"/>
          <w:numId w:val="1003"/>
        </w:numPr>
        <w:pStyle w:val="Compact"/>
      </w:pPr>
      <w:r>
        <w:t xml:space="preserve">Confidentiality obligations shall survive the termination of this Quotation Estimate and the associated contract for a period of three (3) years.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Mechatronics Engineer services in Russia Moscow and agrees to the terms, conditions, and pricing outlined herein. This document does not constitute a binding contract until a formal master service agreement is executed by both parties.</w:t>
      </w:r>
    </w:p>
    <w:p>
      <w:pPr>
        <w:pStyle w:val="BodyText"/>
      </w:pPr>
      <w:r>
        <w:rPr>
          <w:bCs/>
          <w:b/>
        </w:rPr>
        <w:t xml:space="preserve">For the Service Provider</w:t>
      </w:r>
      <w:r>
        <w:br/>
      </w:r>
      <w:r>
        <w:t xml:space="preserve">Global Mechatronics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Industrial Manufacturing Facility, Russia Moscow</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QE-ME-RM-2025-0472 | Mechatronics Engineer Services | Russia Moscow</w:t>
      </w:r>
    </w:p>
    <w:p>
      <w:pPr>
        <w:pStyle w:val="BodyText"/>
      </w:pPr>
      <w:r>
        <w:t xml:space="preserve">Global Mechatronics Solutions Ltd. | 42 Engineering Park, London, UK | +44 20 7946 0958 | info@globalmechatronics.co.uk</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Russia Moscow</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