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NorthBridge Engineering Solutions LLC</w:t>
      </w:r>
    </w:p>
    <w:p>
      <w:pPr>
        <w:pStyle w:val="BodyText"/>
      </w:pPr>
      <w:r>
        <w:t xml:space="preserve">12 Nevsky Prospekt, Building 4, Office 310, Saint Petersburg, 191025, Russian Federation</w:t>
      </w:r>
    </w:p>
    <w:p>
      <w:pPr>
        <w:pStyle w:val="BodyText"/>
      </w:pPr>
      <w:r>
        <w:t xml:space="preserve">Tel: +7 (812) 555-0147 | Email: estimates@northbridge-eng.ru | INN: 7810456789</w:t>
      </w:r>
    </w:p>
    <w:bookmarkEnd w:id="20"/>
    <w:p>
      <w:pPr>
        <w:pStyle w:val="BodyText"/>
      </w:pPr>
      <w:r>
        <w:rPr>
          <w:bCs/>
          <w:b/>
        </w:rPr>
        <w:t xml:space="preserve">Quotation No.:</w:t>
      </w:r>
      <w:r>
        <w:t xml:space="preserve"> </w:t>
      </w:r>
      <w:r>
        <w:t xml:space="preserve">QTE-2025-SPB-0482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Baltic Industrial Automation Group</w:t>
      </w:r>
      <w:r>
        <w:br/>
      </w:r>
      <w:r>
        <w:t xml:space="preserve">45 Liteyny Avenue, Saint Petersburg, 191011</w:t>
      </w:r>
      <w:r>
        <w:br/>
      </w:r>
      <w:r>
        <w:t xml:space="preserve">Russian Federation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NorthBridge Engineering Solutions LLC in response to the formal request for professional engineering services submitted by Baltic Industrial Automation Group. The scope of work described herein pertains exclusively to the engagement of a senior</w:t>
      </w:r>
      <w:r>
        <w:t xml:space="preserve"> </w:t>
      </w:r>
      <w:r>
        <w:t xml:space="preserve">Mechatronics Engineer</w:t>
      </w:r>
      <w:r>
        <w:t xml:space="preserve"> </w:t>
      </w:r>
      <w:r>
        <w:t xml:space="preserve">to deliver comprehensive design, integration, testing, and commissioning services for an automated production line located at the client's manufacturing facility in</w:t>
      </w:r>
      <w:r>
        <w:t xml:space="preserve"> </w:t>
      </w:r>
      <w:r>
        <w:t xml:space="preserve">Russia Saint Petersburg</w:t>
      </w:r>
      <w:r>
        <w:t xml:space="preserve">. This document outlines all applicable costs, deliverables, timelines, and contractual conditions governing the proposed engagement.</w:t>
      </w:r>
    </w:p>
    <w:p>
      <w:pPr>
        <w:pStyle w:val="BodyText"/>
      </w:pPr>
      <w:r>
        <w:t xml:space="preserve">The</w:t>
      </w:r>
      <w:r>
        <w:t xml:space="preserve"> </w:t>
      </w:r>
      <w:r>
        <w:t xml:space="preserve">Mechatronics Engineer</w:t>
      </w:r>
      <w:r>
        <w:t xml:space="preserve"> </w:t>
      </w:r>
      <w:r>
        <w:t xml:space="preserve">assigned to this project will be responsible for the end-to-end development of electromechanical subsystems, programmable logic controller (PLC) programming, industrial sensor networks, robotic actuator calibration, and the integration of human-machine interface (HMI) panels across the entire production line. All work will be performed in strict compliance with GOST R standards, IEC 61508 functional safety requirements, and the specific operational parameters defined in the client's technical specification document (Ref: BIA-TECH-2025-019).</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Initial site survey and feasibility assessment at the Saint Petersburg manufacturing plant. Includes documentation review, existing infrastructure audit, and preliminary system architecture design by the</w:t>
            </w:r>
            <w:r>
              <w:t xml:space="preserve"> </w:t>
            </w:r>
            <w:r>
              <w:t xml:space="preserve">Mechatronics Engineer</w:t>
            </w:r>
            <w:r>
              <w:t xml:space="preserve">.</w:t>
            </w:r>
          </w:p>
        </w:tc>
        <w:tc>
          <w:tcPr/>
          <w:p>
            <w:pPr>
              <w:pStyle w:val="Compact"/>
              <w:jc w:val="left"/>
            </w:pPr>
            <w:r>
              <w:t xml:space="preserve">5 business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02</w:t>
            </w:r>
          </w:p>
        </w:tc>
        <w:tc>
          <w:tcPr/>
          <w:p>
            <w:pPr>
              <w:pStyle w:val="Compact"/>
              <w:jc w:val="left"/>
            </w:pPr>
            <w:r>
              <w:t xml:space="preserve">Detailed mechatronic system design: electrical schematics, pneumatic/hydraulic circuit diagrams, PLC ladder logic and structured text programming, and CAD modeling of custom mechanical housings.</w:t>
            </w:r>
          </w:p>
        </w:tc>
        <w:tc>
          <w:tcPr/>
          <w:p>
            <w:pPr>
              <w:pStyle w:val="Compact"/>
              <w:jc w:val="left"/>
            </w:pPr>
            <w:r>
              <w:t xml:space="preserve">20 business days</w:t>
            </w:r>
          </w:p>
        </w:tc>
        <w:tc>
          <w:tcPr/>
          <w:p>
            <w:pPr>
              <w:pStyle w:val="Compact"/>
              <w:jc w:val="left"/>
            </w:pPr>
            <w:r>
              <w:t xml:space="preserve">52,000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Procurement coordination and technical supervision of component sourcing (servo drives, industrial sensors, actuators, communication modules) from approved vendors within the Russian Federation.</w:t>
            </w:r>
          </w:p>
        </w:tc>
        <w:tc>
          <w:tcPr/>
          <w:p>
            <w:pPr>
              <w:pStyle w:val="Compact"/>
              <w:jc w:val="left"/>
            </w:pPr>
            <w:r>
              <w:t xml:space="preserve">10 business days</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On-site installation, wiring, mechanical assembly, and initial power-up of all mechatronic subsystems at the client's facility in</w:t>
            </w:r>
            <w:r>
              <w:t xml:space="preserve"> </w:t>
            </w:r>
            <w:r>
              <w:t xml:space="preserve">Russia Saint Petersburg</w:t>
            </w:r>
            <w:r>
              <w:t xml:space="preserve">.</w:t>
            </w:r>
          </w:p>
        </w:tc>
        <w:tc>
          <w:tcPr/>
          <w:p>
            <w:pPr>
              <w:pStyle w:val="Compact"/>
              <w:jc w:val="left"/>
            </w:pPr>
            <w:r>
              <w:t xml:space="preserve">15 business days</w:t>
            </w:r>
          </w:p>
        </w:tc>
        <w:tc>
          <w:tcPr/>
          <w:p>
            <w:pPr>
              <w:pStyle w:val="Compact"/>
              <w:jc w:val="left"/>
            </w:pPr>
            <w:r>
              <w:t xml:space="preserve">55,000</w:t>
            </w:r>
          </w:p>
        </w:tc>
        <w:tc>
          <w:tcPr/>
          <w:p>
            <w:pPr>
              <w:pStyle w:val="Compact"/>
              <w:jc w:val="left"/>
            </w:pPr>
            <w:r>
              <w:t xml:space="preserve">825,000</w:t>
            </w:r>
          </w:p>
        </w:tc>
      </w:tr>
      <w:tr>
        <w:tc>
          <w:tcPr/>
          <w:p>
            <w:pPr>
              <w:pStyle w:val="Compact"/>
              <w:jc w:val="left"/>
            </w:pPr>
            <w:r>
              <w:t xml:space="preserve">05</w:t>
            </w:r>
          </w:p>
        </w:tc>
        <w:tc>
          <w:tcPr/>
          <w:p>
            <w:pPr>
              <w:pStyle w:val="Compact"/>
              <w:jc w:val="left"/>
            </w:pPr>
            <w:r>
              <w:t xml:space="preserve">System integration, HMI configuration, network commissioning (PROFINET / EtherCAT), and full-line functional testing under simulated production loads.</w:t>
            </w:r>
          </w:p>
        </w:tc>
        <w:tc>
          <w:tcPr/>
          <w:p>
            <w:pPr>
              <w:pStyle w:val="Compact"/>
              <w:jc w:val="left"/>
            </w:pPr>
            <w:r>
              <w:t xml:space="preserve">12 business days</w:t>
            </w:r>
          </w:p>
        </w:tc>
        <w:tc>
          <w:tcPr/>
          <w:p>
            <w:pPr>
              <w:pStyle w:val="Compact"/>
              <w:jc w:val="left"/>
            </w:pPr>
            <w:r>
              <w:t xml:space="preserve">58,000</w:t>
            </w:r>
          </w:p>
        </w:tc>
        <w:tc>
          <w:tcPr/>
          <w:p>
            <w:pPr>
              <w:pStyle w:val="Compact"/>
              <w:jc w:val="left"/>
            </w:pPr>
            <w:r>
              <w:t xml:space="preserve">696,000</w:t>
            </w:r>
          </w:p>
        </w:tc>
      </w:tr>
      <w:tr>
        <w:tc>
          <w:tcPr/>
          <w:p>
            <w:pPr>
              <w:pStyle w:val="Compact"/>
              <w:jc w:val="left"/>
            </w:pPr>
            <w:r>
              <w:t xml:space="preserve">06</w:t>
            </w:r>
          </w:p>
        </w:tc>
        <w:tc>
          <w:tcPr/>
          <w:p>
            <w:pPr>
              <w:pStyle w:val="Compact"/>
              <w:jc w:val="left"/>
            </w:pPr>
            <w:r>
              <w:t xml:space="preserve">Operator training sessions (4 sessions, 8 hours each), preparation of as-built documentation, maintenance manuals, and final acceptance report.</w:t>
            </w:r>
          </w:p>
        </w:tc>
        <w:tc>
          <w:tcPr/>
          <w:p>
            <w:pPr>
              <w:pStyle w:val="Compact"/>
              <w:jc w:val="left"/>
            </w:pPr>
            <w:r>
              <w:t xml:space="preserve">6 business days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Post-commissioning warranty support and remote troubleshooting for a period of 12 months from the date of final acceptance.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w:t>
            </w:r>
          </w:p>
        </w:tc>
      </w:tr>
      <w:tr>
        <w:tc>
          <w:tcPr>
            <w:gridSpan w:val="4"/>
          </w:tcPr>
          <w:p>
            <w:pPr>
              <w:pStyle w:val="Compact"/>
              <w:jc w:val="right"/>
            </w:pPr>
            <w:r>
              <w:t xml:space="preserve">Subtotal (RUB)</w:t>
            </w:r>
          </w:p>
        </w:tc>
        <w:tc>
          <w:tcPr/>
          <w:p>
            <w:pPr>
              <w:pStyle w:val="Compact"/>
              <w:jc w:val="left"/>
            </w:pPr>
            <w:r>
              <w:t xml:space="preserve">3,598,000</w:t>
            </w:r>
          </w:p>
        </w:tc>
      </w:tr>
      <w:tr>
        <w:tc>
          <w:tcPr>
            <w:gridSpan w:val="4"/>
          </w:tcPr>
          <w:p>
            <w:pPr>
              <w:pStyle w:val="Compact"/>
              <w:jc w:val="right"/>
            </w:pPr>
            <w:r>
              <w:t xml:space="preserve">VAT (20%)</w:t>
            </w:r>
          </w:p>
        </w:tc>
        <w:tc>
          <w:tcPr/>
          <w:p>
            <w:pPr>
              <w:pStyle w:val="Compact"/>
              <w:jc w:val="left"/>
            </w:pPr>
            <w:r>
              <w:t xml:space="preserve">719,600</w:t>
            </w:r>
          </w:p>
        </w:tc>
      </w:tr>
      <w:tr>
        <w:tc>
          <w:tcPr>
            <w:gridSpan w:val="4"/>
          </w:tcPr>
          <w:p>
            <w:pPr>
              <w:pStyle w:val="Compact"/>
              <w:jc w:val="right"/>
            </w:pPr>
            <w:r>
              <w:t xml:space="preserve">TOTAL ESTIMATED COST (RUB)</w:t>
            </w:r>
          </w:p>
        </w:tc>
        <w:tc>
          <w:tcPr/>
          <w:p>
            <w:pPr>
              <w:pStyle w:val="Compact"/>
              <w:jc w:val="left"/>
            </w:pPr>
            <w:r>
              <w:t xml:space="preserve">4,317,600</w:t>
            </w:r>
          </w:p>
        </w:tc>
      </w:tr>
    </w:tbl>
    <w:bookmarkEnd w:id="22"/>
    <w:bookmarkStart w:id="23" w:name="project-timeline-and-milestones"/>
    <w:p>
      <w:pPr>
        <w:pStyle w:val="Heading2"/>
      </w:pPr>
      <w:r>
        <w:t xml:space="preserve">3. Project Timeline and Milestones</w:t>
      </w:r>
    </w:p>
    <w:p>
      <w:pPr>
        <w:pStyle w:val="FirstParagraph"/>
      </w:pPr>
      <w:r>
        <w:t xml:space="preserve">The total estimated project duration is approximately 68 business days (approximately 14 calendar weeks) from the date of contract execution. The</w:t>
      </w:r>
      <w:r>
        <w:t xml:space="preserve"> </w:t>
      </w:r>
      <w:r>
        <w:t xml:space="preserve">Mechatronics Engineer</w:t>
      </w:r>
      <w:r>
        <w:t xml:space="preserve"> </w:t>
      </w:r>
      <w:r>
        <w:t xml:space="preserve">will report progress to the client's project manager on a weekly basis via a shared digital project management platform. Key milestones include: completion of the feasibility report (Week 1), delivery of detailed design package (Week 5), completion of on-site installation (Week 9), successful commissioning and acceptance testing (Week 12), and final handover with documentation (Week 14). All milestones are subject to the client's timely provision of access to the facility and approval of intermediate deliverables.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assigned</w:t>
      </w:r>
      <w:r>
        <w:t xml:space="preserve"> </w:t>
      </w:r>
      <w:r>
        <w:t xml:space="preserve">Mechatronics Engineer</w:t>
      </w:r>
      <w:r>
        <w:t xml:space="preserve"> </w:t>
      </w:r>
      <w:r>
        <w:t xml:space="preserve">are subject to re-evaluation.</w:t>
      </w:r>
    </w:p>
    <w:p>
      <w:pPr>
        <w:numPr>
          <w:ilvl w:val="0"/>
          <w:numId w:val="1001"/>
        </w:numPr>
        <w:pStyle w:val="Compact"/>
      </w:pPr>
      <w:r>
        <w:t xml:space="preserve">Payment terms: 30% advance payment upon contract signing, 40% upon completion of the detailed design phase, 20% upon successful commissioning, and 10% upon final acceptance and handover of all documentation.</w:t>
      </w:r>
    </w:p>
    <w:p>
      <w:pPr>
        <w:numPr>
          <w:ilvl w:val="0"/>
          <w:numId w:val="1001"/>
        </w:numPr>
        <w:pStyle w:val="Compact"/>
      </w:pPr>
      <w:r>
        <w:t xml:space="preserve">All payments shall be made in Russian Rubles (RUB) via bank transfer to the account of NorthBridge Engineering Solutions LLC, Sberbank, Branch Saint Petersburg, Account No. 40702810XXXXXX, BIC: 044030064.</w:t>
      </w:r>
    </w:p>
    <w:p>
      <w:pPr>
        <w:numPr>
          <w:ilvl w:val="0"/>
          <w:numId w:val="1001"/>
        </w:numPr>
        <w:pStyle w:val="Compact"/>
      </w:pPr>
      <w:r>
        <w:t xml:space="preserve">The</w:t>
      </w:r>
      <w:r>
        <w:t xml:space="preserve"> </w:t>
      </w:r>
      <w:r>
        <w:t xml:space="preserve">Mechatronics Engineer</w:t>
      </w:r>
      <w:r>
        <w:t xml:space="preserve"> </w:t>
      </w:r>
      <w:r>
        <w:t xml:space="preserve">shall comply with all applicable labor safety regulations in force in</w:t>
      </w:r>
      <w:r>
        <w:t xml:space="preserve"> </w:t>
      </w:r>
      <w:r>
        <w:t xml:space="preserve">Russia Saint Petersburg</w:t>
      </w:r>
      <w:r>
        <w:t xml:space="preserve"> </w:t>
      </w:r>
      <w:r>
        <w:t xml:space="preserve">and the Russian Federation, including but not limited to Federal Law No. 426-FZ on occupational safety.</w:t>
      </w:r>
    </w:p>
    <w:p>
      <w:pPr>
        <w:numPr>
          <w:ilvl w:val="0"/>
          <w:numId w:val="1001"/>
        </w:numPr>
        <w:pStyle w:val="Compact"/>
      </w:pPr>
      <w:r>
        <w:t xml:space="preserve">Any changes to the scope of work beyond the parameters defined in this estimate shall be subject to a formal change order and a revised</w:t>
      </w:r>
      <w:r>
        <w:t xml:space="preserve"> </w:t>
      </w:r>
      <w:r>
        <w:t xml:space="preserve">Quotation Estimate</w:t>
      </w:r>
      <w:r>
        <w:t xml:space="preserve"> </w:t>
      </w:r>
      <w:r>
        <w:t xml:space="preserve">mutually agreed upon by both parties.</w:t>
      </w:r>
    </w:p>
    <w:p>
      <w:pPr>
        <w:numPr>
          <w:ilvl w:val="0"/>
          <w:numId w:val="1001"/>
        </w:numPr>
        <w:pStyle w:val="Compact"/>
      </w:pPr>
      <w:r>
        <w:t xml:space="preserve">Intellectual property rights in all design documents, PLC programs, and technical drawings produced under this engagement shall vest in the client upon full payment. The</w:t>
      </w:r>
      <w:r>
        <w:t xml:space="preserve"> </w:t>
      </w:r>
      <w:r>
        <w:t xml:space="preserve">Mechatronics Engineer</w:t>
      </w:r>
      <w:r>
        <w:t xml:space="preserve"> </w:t>
      </w:r>
      <w:r>
        <w:t xml:space="preserve">and NorthBridge retain the right to reference the project in professional portfolios with prior written consent.</w:t>
      </w:r>
    </w:p>
    <w:p>
      <w:pPr>
        <w:numPr>
          <w:ilvl w:val="0"/>
          <w:numId w:val="1001"/>
        </w:numPr>
        <w:pStyle w:val="Compact"/>
      </w:pPr>
      <w:r>
        <w:t xml:space="preserve">Force majeure events, including but not limited to natural disasters, government-imposed restrictions, or supply chain disruptions specific to the</w:t>
      </w:r>
      <w:r>
        <w:t xml:space="preserve"> </w:t>
      </w:r>
      <w:r>
        <w:t xml:space="preserve">Russia Saint Petersburg</w:t>
      </w:r>
      <w:r>
        <w:t xml:space="preserve"> </w:t>
      </w:r>
      <w:r>
        <w:t xml:space="preserve">region, shall extend project timelines proportionally without penalty to either party.</w:t>
      </w:r>
    </w:p>
    <w:p>
      <w:pPr>
        <w:numPr>
          <w:ilvl w:val="0"/>
          <w:numId w:val="1001"/>
        </w:numPr>
        <w:pStyle w:val="Compact"/>
      </w:pPr>
      <w:r>
        <w:t xml:space="preserve">Disputes arising from this agreement shall be resolved through arbitration at the Arbitration Court of Saint Petersburg and the Leningrad Region in accordance with the Civil Procedure Code of the Russian Federation.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figures set forth in this</w:t>
      </w:r>
      <w:r>
        <w:t xml:space="preserve"> </w:t>
      </w:r>
      <w:r>
        <w:t xml:space="preserve">Quotation Estimate</w:t>
      </w:r>
      <w:r>
        <w:t xml:space="preserve"> </w:t>
      </w:r>
      <w:r>
        <w:t xml:space="preserve">for the engagement of a</w:t>
      </w:r>
      <w:r>
        <w:t xml:space="preserve"> </w:t>
      </w:r>
      <w:r>
        <w:t xml:space="preserve">Mechatronics Engineer</w:t>
      </w:r>
      <w:r>
        <w:t xml:space="preserve"> </w:t>
      </w:r>
      <w:r>
        <w:t xml:space="preserve">to perform the described services in</w:t>
      </w:r>
      <w:r>
        <w:t xml:space="preserve"> </w:t>
      </w:r>
      <w:r>
        <w:t xml:space="preserve">Russia Saint Petersburg</w:t>
      </w:r>
      <w:r>
        <w:t xml:space="preserve">. This document, once countersigned, constitutes a binding commercial agreement between the parties.</w:t>
      </w:r>
    </w:p>
    <w:p>
      <w:pPr>
        <w:pStyle w:val="BodyText"/>
      </w:pPr>
      <w:r>
        <w:rPr>
          <w:bCs/>
          <w:b/>
        </w:rPr>
        <w:t xml:space="preserve">For NorthBridge Engineering Solutions LLC</w:t>
      </w:r>
      <w:r>
        <w:br/>
      </w:r>
      <w:r>
        <w:t xml:space="preserve">Name: _________________________</w:t>
      </w:r>
      <w:r>
        <w:br/>
      </w:r>
      <w:r>
        <w:t xml:space="preserve">Title: Chief Engineer / Authorized Signatory</w:t>
      </w:r>
      <w:r>
        <w:br/>
      </w:r>
      <w:r>
        <w:t xml:space="preserve">Date: _________________________</w:t>
      </w:r>
    </w:p>
    <w:p>
      <w:pPr>
        <w:pStyle w:val="BodyText"/>
      </w:pPr>
      <w:r>
        <w:rPr>
          <w:bCs/>
          <w:b/>
        </w:rPr>
        <w:t xml:space="preserve">For Baltic Industrial Automation Group</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QTE-2025-SPB-0482 | NorthBridge Engineering Solutions LLC | Saint Petersburg, Russian Federation</w:t>
      </w:r>
    </w:p>
    <w:p>
      <w:pPr>
        <w:pStyle w:val="BodyText"/>
      </w:pPr>
      <w:r>
        <w:t xml:space="preserve">This document is generated electronically and is valid without a physical seal.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Russia Saint Petersburg</dc:title>
  <dc:creator/>
  <dc:language>en</dc:language>
  <cp:keywords/>
  <dcterms:created xsi:type="dcterms:W3CDTF">2026-10-10T09:17:37Z</dcterms:created>
  <dcterms:modified xsi:type="dcterms:W3CDTF">2026-10-10T09:17:37Z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