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Saudi Arabia Riyadh | Kingdom of Saudi Arabia</w:t>
      </w:r>
    </w:p>
    <w:p>
      <w:pPr>
        <w:pStyle w:val="BodyText"/>
      </w:pPr>
      <w:r>
        <w:t xml:space="preserve">Ref: QTE-2025-RYD-ME-0047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Organization, Riyadh, Saudi Arabia</w:t>
      </w:r>
    </w:p>
    <w:p>
      <w:pPr>
        <w:pStyle w:val="BodyText"/>
      </w:pPr>
      <w:r>
        <w:rPr>
          <w:bCs/>
          <w:b/>
        </w:rPr>
        <w:t xml:space="preserve">Prepared By:</w:t>
      </w:r>
      <w:r>
        <w:t xml:space="preserve"> </w:t>
      </w:r>
      <w:r>
        <w:t xml:space="preserve">Lead Mechatronics Engineer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services rendered by a qualified</w:t>
      </w:r>
      <w:r>
        <w:t xml:space="preserve"> </w:t>
      </w:r>
      <w:r>
        <w:t xml:space="preserve">Mechatronics Engineer</w:t>
      </w:r>
      <w:r>
        <w:t xml:space="preserve"> </w:t>
      </w:r>
      <w:r>
        <w:t xml:space="preserve">for an industrial automation and control systems project located in</w:t>
      </w:r>
      <w:r>
        <w:t xml:space="preserve"> </w:t>
      </w:r>
      <w:r>
        <w:t xml:space="preserve">Saudi Arabia Riyadh</w:t>
      </w:r>
      <w:r>
        <w:t xml:space="preserve">. The purpose of this estimate is to outline the scope of work, associated costs, timelines, and terms governing the engagement. All pricing and specifications contained herein are tailored specifically to the regulatory, environmental, and industrial standards applicable to the Riyadh metropolitan area within the Kingdom of Saudi Arabia.</w:t>
      </w:r>
    </w:p>
    <w:p>
      <w:pPr>
        <w:pStyle w:val="BodyText"/>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holds a professional engineering license issued by the Saudi Commission for Experts Registration (SCFAR) and possesses over twelve years of experience in integrated mechanical, electrical, and software systems design. The engineer is fully versed in the Saudi Building Code, SASO standards, and the operational requirements of the Riyadh industrial zones including the King Abdullah Economic City (KAEC) and the Riyadh Industrial City.</w:t>
      </w:r>
    </w:p>
    <w:bookmarkEnd w:id="21"/>
    <w:bookmarkStart w:id="22" w:name="Xbd1e2d33486c37068aa6134a884d697173a8f36"/>
    <w:p>
      <w:pPr>
        <w:pStyle w:val="Heading2"/>
      </w:pPr>
      <w:r>
        <w:t xml:space="preserve">2. Scope of Work – Mechatronics Engineer Services</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Mechatronics Engineer</w:t>
      </w:r>
      <w:r>
        <w:t xml:space="preserve"> </w:t>
      </w:r>
      <w:r>
        <w:t xml:space="preserve">engagement in</w:t>
      </w:r>
      <w:r>
        <w:t xml:space="preserve"> </w:t>
      </w:r>
      <w:r>
        <w:t xml:space="preserve">Saudi Arabia Riyadh</w:t>
      </w:r>
      <w:r>
        <w:t xml:space="preserve">:</w:t>
      </w:r>
    </w:p>
    <w:p>
      <w:pPr>
        <w:numPr>
          <w:ilvl w:val="0"/>
          <w:numId w:val="1001"/>
        </w:numPr>
        <w:pStyle w:val="Compact"/>
      </w:pPr>
      <w:r>
        <w:t xml:space="preserve">Design and development of integrated mechatronic systems combining mechanical actuators, electrical control circuits, and embedded software for the client's production line in Riyadh.</w:t>
      </w:r>
    </w:p>
    <w:p>
      <w:pPr>
        <w:numPr>
          <w:ilvl w:val="0"/>
          <w:numId w:val="1001"/>
        </w:numPr>
        <w:pStyle w:val="Compact"/>
      </w:pPr>
      <w:r>
        <w:t xml:space="preserve">Programming and configuration of Programmable Logic Controllers (PLCs), Human-Machine Interfaces (HMIs), and Distributed Control Systems (DCS) compliant with IEC 61131-3 standards.</w:t>
      </w:r>
    </w:p>
    <w:p>
      <w:pPr>
        <w:numPr>
          <w:ilvl w:val="0"/>
          <w:numId w:val="1001"/>
        </w:numPr>
        <w:pStyle w:val="Compact"/>
      </w:pPr>
      <w:r>
        <w:t xml:space="preserve">Selection, specification, and procurement oversight of servo motors, stepper drives, sensors, and pneumatic/hydraulic components suitable for the high-temperature operating conditions prevalent in Saudi Arabia Riyadh.</w:t>
      </w:r>
    </w:p>
    <w:p>
      <w:pPr>
        <w:numPr>
          <w:ilvl w:val="0"/>
          <w:numId w:val="1001"/>
        </w:numPr>
        <w:pStyle w:val="Compact"/>
      </w:pPr>
      <w:r>
        <w:t xml:space="preserve">On-site installation, commissioning, and performance validation of the mechatronic assembly at the client's facility in the Riyadh industrial district.</w:t>
      </w:r>
    </w:p>
    <w:p>
      <w:pPr>
        <w:numPr>
          <w:ilvl w:val="0"/>
          <w:numId w:val="1001"/>
        </w:numPr>
        <w:pStyle w:val="Compact"/>
      </w:pPr>
      <w:r>
        <w:t xml:space="preserve">Preparation of technical documentation including P&amp;ID drawings, electrical schematics, software source code, and operation &amp; maintenance manuals in both Arabic and English.</w:t>
      </w:r>
    </w:p>
    <w:p>
      <w:pPr>
        <w:numPr>
          <w:ilvl w:val="0"/>
          <w:numId w:val="1001"/>
        </w:numPr>
        <w:pStyle w:val="Compact"/>
      </w:pPr>
      <w:r>
        <w:t xml:space="preserve">Training of the client's in-house technical staff (up to 10 personnel) on system operation, troubleshooting, and preventive maintenance procedures.</w:t>
      </w:r>
    </w:p>
    <w:p>
      <w:pPr>
        <w:numPr>
          <w:ilvl w:val="0"/>
          <w:numId w:val="1001"/>
        </w:numPr>
        <w:pStyle w:val="Compact"/>
      </w:pPr>
      <w:r>
        <w:t xml:space="preserve">Provision of a 12-month post-commissioning warranty covering all mechatronic subsystems delivered under this engagement.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Mechatronics Engineer – System Design &amp; Engineering (Riyadh, Saudi Arabia)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PLC / HMI / DCS Programming &amp; Configuration</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Procurement &amp; Supply of Mechatronic Components (motors, sensors, drives)</w:t>
            </w:r>
          </w:p>
        </w:tc>
        <w:tc>
          <w:tcPr/>
          <w:p>
            <w:pPr>
              <w:pStyle w:val="Compact"/>
              <w:jc w:val="left"/>
            </w:pPr>
            <w:r>
              <w:t xml:space="preserve">1</w:t>
            </w:r>
          </w:p>
        </w:tc>
        <w:tc>
          <w:tcPr/>
          <w:p>
            <w:pPr>
              <w:pStyle w:val="Compact"/>
              <w:jc w:val="left"/>
            </w:pPr>
            <w:r>
              <w:t xml:space="preserve">127,000</w:t>
            </w:r>
          </w:p>
        </w:tc>
        <w:tc>
          <w:tcPr/>
          <w:p>
            <w:pPr>
              <w:pStyle w:val="Compact"/>
              <w:jc w:val="left"/>
            </w:pPr>
            <w:r>
              <w:t xml:space="preserve">127,000</w:t>
            </w:r>
          </w:p>
        </w:tc>
        <w:tc>
          <w:tcPr/>
          <w:p>
            <w:pPr>
              <w:pStyle w:val="Compact"/>
              <w:jc w:val="left"/>
            </w:pPr>
            <w:r>
              <w:t xml:space="preserve">6 weeks</w:t>
            </w:r>
          </w:p>
        </w:tc>
      </w:tr>
      <w:tr>
        <w:tc>
          <w:tcPr/>
          <w:p>
            <w:pPr>
              <w:pStyle w:val="Compact"/>
              <w:jc w:val="left"/>
            </w:pPr>
            <w:r>
              <w:t xml:space="preserve">4</w:t>
            </w:r>
          </w:p>
        </w:tc>
        <w:tc>
          <w:tcPr/>
          <w:p>
            <w:pPr>
              <w:pStyle w:val="Compact"/>
              <w:jc w:val="left"/>
            </w:pPr>
            <w:r>
              <w:t xml:space="preserve">On-Site Installation &amp; Commissioning – Riyadh Facility</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Technical Documentation (Arabic &amp; English) &amp; As-Built Drawings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Operator &amp; Maintenance Training (10 personnel, 5 days)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1 week</w:t>
            </w:r>
          </w:p>
        </w:tc>
      </w:tr>
      <w:tr>
        <w:tc>
          <w:tcPr/>
          <w:p>
            <w:pPr>
              <w:pStyle w:val="Compact"/>
              <w:jc w:val="left"/>
            </w:pPr>
            <w:r>
              <w:t xml:space="preserve">7</w:t>
            </w:r>
          </w:p>
        </w:tc>
        <w:tc>
          <w:tcPr/>
          <w:p>
            <w:pPr>
              <w:pStyle w:val="Compact"/>
              <w:jc w:val="left"/>
            </w:pPr>
            <w:r>
              <w:t xml:space="preserve">12-Month Warranty &amp; Preventive Maintenance Visits (4 visits/year)</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Travel, Accommodation &amp; Per Diem – Saudi Arabia Riyadh</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Project duration</w:t>
            </w:r>
          </w:p>
        </w:tc>
      </w:tr>
      <w:tr>
        <w:tc>
          <w:tcPr>
            <w:gridSpan w:val="4"/>
          </w:tcPr>
          <w:p>
            <w:pPr>
              <w:pStyle w:val="Compact"/>
              <w:jc w:val="left"/>
            </w:pPr>
            <w:r>
              <w:t xml:space="preserve">Subtotal (SAR)</w:t>
            </w:r>
          </w:p>
        </w:tc>
        <w:tc>
          <w:tcPr/>
          <w:p>
            <w:pPr>
              <w:pStyle w:val="Compact"/>
              <w:jc w:val="left"/>
            </w:pPr>
            <w:r>
              <w:t xml:space="preserve">324,500</w:t>
            </w:r>
          </w:p>
        </w:tc>
        <w:tc>
          <w:tcPr/>
          <w:p>
            <w:pPr>
              <w:pStyle w:val="Compact"/>
            </w:pPr>
          </w:p>
        </w:tc>
      </w:tr>
      <w:tr>
        <w:tc>
          <w:tcPr>
            <w:gridSpan w:val="4"/>
          </w:tcPr>
          <w:p>
            <w:pPr>
              <w:pStyle w:val="Compact"/>
              <w:jc w:val="left"/>
            </w:pPr>
            <w:r>
              <w:t xml:space="preserve">VAT @ 15% (Saudi Arabia)</w:t>
            </w:r>
          </w:p>
        </w:tc>
        <w:tc>
          <w:tcPr/>
          <w:p>
            <w:pPr>
              <w:pStyle w:val="Compact"/>
              <w:jc w:val="left"/>
            </w:pPr>
            <w:r>
              <w:t xml:space="preserve">48,675</w:t>
            </w:r>
          </w:p>
        </w:tc>
        <w:tc>
          <w:tcPr/>
          <w:p>
            <w:pPr>
              <w:pStyle w:val="Compact"/>
            </w:pPr>
          </w:p>
        </w:tc>
      </w:tr>
      <w:tr>
        <w:tc>
          <w:tcPr>
            <w:gridSpan w:val="4"/>
          </w:tcPr>
          <w:p>
            <w:pPr>
              <w:pStyle w:val="Compact"/>
              <w:jc w:val="left"/>
            </w:pPr>
            <w:r>
              <w:t xml:space="preserve">Grand Total (SAR)</w:t>
            </w:r>
          </w:p>
        </w:tc>
        <w:tc>
          <w:tcPr/>
          <w:p>
            <w:pPr>
              <w:pStyle w:val="Compact"/>
              <w:jc w:val="left"/>
            </w:pPr>
            <w:r>
              <w:t xml:space="preserve">373,175</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installments, all denominated in Saudi Riyals (SAR) and payable via bank transfer to the account specified by the</w:t>
      </w:r>
      <w:r>
        <w:t xml:space="preserve"> </w:t>
      </w:r>
      <w:r>
        <w:t xml:space="preserve">Mechatronics Engineer</w:t>
      </w:r>
      <w:r>
        <w:t xml:space="preserve"> </w:t>
      </w:r>
      <w:r>
        <w:t xml:space="preserve">firm:</w:t>
      </w:r>
    </w:p>
    <w:p>
      <w:pPr>
        <w:numPr>
          <w:ilvl w:val="0"/>
          <w:numId w:val="1002"/>
        </w:numPr>
        <w:pStyle w:val="Compact"/>
      </w:pPr>
      <w:r>
        <w:rPr>
          <w:bCs/>
          <w:b/>
        </w:rPr>
        <w:t xml:space="preserve">30% Advance Payment:</w:t>
      </w:r>
      <w:r>
        <w:t xml:space="preserve"> </w:t>
      </w:r>
      <w:r>
        <w:t xml:space="preserve">Due upon client acceptance and signing of this Quotation Estimate, prior to commencement of design work.</w:t>
      </w:r>
    </w:p>
    <w:p>
      <w:pPr>
        <w:numPr>
          <w:ilvl w:val="0"/>
          <w:numId w:val="1002"/>
        </w:numPr>
        <w:pStyle w:val="Compact"/>
      </w:pPr>
      <w:r>
        <w:rPr>
          <w:bCs/>
          <w:b/>
        </w:rPr>
        <w:t xml:space="preserve">40% Progress Payment:</w:t>
      </w:r>
      <w:r>
        <w:t xml:space="preserve"> </w:t>
      </w:r>
      <w:r>
        <w:t xml:space="preserve">Due upon successful completion of on-site installation and commissioning at the Riyadh facility.</w:t>
      </w:r>
    </w:p>
    <w:p>
      <w:pPr>
        <w:numPr>
          <w:ilvl w:val="0"/>
          <w:numId w:val="1002"/>
        </w:numPr>
        <w:pStyle w:val="Compact"/>
      </w:pPr>
      <w:r>
        <w:rPr>
          <w:bCs/>
          <w:b/>
        </w:rPr>
        <w:t xml:space="preserve">20% Final Payment:</w:t>
      </w:r>
      <w:r>
        <w:t xml:space="preserve"> </w:t>
      </w:r>
      <w:r>
        <w:t xml:space="preserve">Due upon delivery of all technical documentation, completion of training, and issuance of the final acceptance certificate.</w:t>
      </w:r>
    </w:p>
    <w:p>
      <w:pPr>
        <w:numPr>
          <w:ilvl w:val="0"/>
          <w:numId w:val="1002"/>
        </w:numPr>
        <w:pStyle w:val="Compact"/>
      </w:pPr>
      <w:r>
        <w:rPr>
          <w:bCs/>
          <w:b/>
        </w:rPr>
        <w:t xml:space="preserve">10% Retention:</w:t>
      </w:r>
      <w:r>
        <w:t xml:space="preserve"> </w:t>
      </w:r>
      <w:r>
        <w:t xml:space="preserve">Released after the 12-month warranty period expires without unresolved defects.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fluctuations in component costs within Saudi Arabia Riyadh.</w:t>
      </w:r>
    </w:p>
    <w:p>
      <w:pPr>
        <w:numPr>
          <w:ilvl w:val="0"/>
          <w:numId w:val="1003"/>
        </w:numPr>
        <w:pStyle w:val="Compact"/>
      </w:pPr>
      <w:r>
        <w:t xml:space="preserve">All work shall comply with the Saudi Standards, Metrology and Quality Organization (SASO) regulations and the applicable codes of the Riyadh Municipality.</w:t>
      </w:r>
    </w:p>
    <w:p>
      <w:pPr>
        <w:numPr>
          <w:ilvl w:val="0"/>
          <w:numId w:val="1003"/>
        </w:numPr>
        <w:pStyle w:val="Compact"/>
      </w:pPr>
      <w:r>
        <w:t xml:space="preserve">The</w:t>
      </w:r>
      <w:r>
        <w:t xml:space="preserve"> </w:t>
      </w:r>
      <w:r>
        <w:t xml:space="preserve">Mechatronics Engineer</w:t>
      </w:r>
      <w:r>
        <w:t xml:space="preserve"> </w:t>
      </w:r>
      <w:r>
        <w:t xml:space="preserve">shall maintain full professional liability insurance coverage throughout the project duration.</w:t>
      </w:r>
    </w:p>
    <w:p>
      <w:pPr>
        <w:numPr>
          <w:ilvl w:val="0"/>
          <w:numId w:val="1003"/>
        </w:numPr>
        <w:pStyle w:val="Compact"/>
      </w:pPr>
      <w:r>
        <w:t xml:space="preserve">Any changes to the scope of work must be documented in a formal Change Order signed by both parties before additional costs are incurred.</w:t>
      </w:r>
    </w:p>
    <w:p>
      <w:pPr>
        <w:numPr>
          <w:ilvl w:val="0"/>
          <w:numId w:val="1003"/>
        </w:numPr>
        <w:pStyle w:val="Compact"/>
      </w:pPr>
      <w:r>
        <w:t xml:space="preserve">The client shall provide the</w:t>
      </w:r>
      <w:r>
        <w:t xml:space="preserve"> </w:t>
      </w:r>
      <w:r>
        <w:t xml:space="preserve">Mechatronics Engineer</w:t>
      </w:r>
      <w:r>
        <w:t xml:space="preserve"> </w:t>
      </w:r>
      <w:r>
        <w:t xml:space="preserve">with safe access to the project site in Riyadh, including necessary permits, utilities, and scaffolding as required.</w:t>
      </w:r>
    </w:p>
    <w:p>
      <w:pPr>
        <w:numPr>
          <w:ilvl w:val="0"/>
          <w:numId w:val="1003"/>
        </w:numPr>
        <w:pStyle w:val="Compact"/>
      </w:pPr>
      <w:r>
        <w:t xml:space="preserve">Confidentiality: All proprietary designs, software, and operational data exchanged under this engagement shall remain the exclusive property of the client. The Mechatronics Engineer agrees to a non-disclosure obligation for a period of five (5) years.</w:t>
      </w:r>
    </w:p>
    <w:p>
      <w:pPr>
        <w:numPr>
          <w:ilvl w:val="0"/>
          <w:numId w:val="1003"/>
        </w:numPr>
        <w:pStyle w:val="Compact"/>
      </w:pPr>
      <w:r>
        <w:t xml:space="preserve">Governing Law: This Quotation Estimate and any resulting contract shall be governed by the laws of the Kingdom of Saudi Arabia. Disputes shall be resolved through arbitration in Riyadh under the rules of the Saudi Center for Commercial Arbitration (SCCA).</w:t>
      </w:r>
    </w:p>
    <w:bookmarkEnd w:id="25"/>
    <w:bookmarkStart w:id="26" w:name="project-timeline-summary"/>
    <w:p>
      <w:pPr>
        <w:pStyle w:val="Heading2"/>
      </w:pPr>
      <w:r>
        <w:t xml:space="preserve">6. Project Timeline Summary</w:t>
      </w:r>
    </w:p>
    <w:p>
      <w:pPr>
        <w:pStyle w:val="FirstParagraph"/>
      </w:pPr>
      <w:r>
        <w:t xml:space="preserve">The estimated total project duration from commencement to final handover is approximately</w:t>
      </w:r>
      <w:r>
        <w:t xml:space="preserve"> </w:t>
      </w:r>
      <w:r>
        <w:rPr>
          <w:bCs/>
          <w:b/>
        </w:rPr>
        <w:t xml:space="preserve">22 weeks</w:t>
      </w:r>
      <w:r>
        <w:t xml:space="preserve">, subject to client approval of design deliverables and timely availability of the Riyadh site. A detailed Gantt chart and milestone schedule will be provided within five (5) business days of contract execution.</w:t>
      </w:r>
    </w:p>
    <w:bookmarkEnd w:id="26"/>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Mechatronics Engineer</w:t>
      </w:r>
      <w:r>
        <w:t xml:space="preserve"> </w:t>
      </w:r>
      <w:r>
        <w:t xml:space="preserve">services in</w:t>
      </w:r>
      <w:r>
        <w:t xml:space="preserve"> </w:t>
      </w:r>
      <w:r>
        <w:t xml:space="preserve">Saudi Arabia Riyadh</w:t>
      </w:r>
      <w:r>
        <w:t xml:space="preserve">.</w:t>
      </w:r>
    </w:p>
    <w:bookmarkStart w:id="27" w:name="prepared-by-mechatronics-engineer"/>
    <w:p>
      <w:pPr>
        <w:pStyle w:val="Heading3"/>
      </w:pPr>
      <w:r>
        <w:t xml:space="preserve">Prepared By (Mechatronics Engineer)</w:t>
      </w:r>
    </w:p>
    <w:p>
      <w:pPr>
        <w:pStyle w:val="FirstParagraph"/>
      </w:pPr>
      <w:r>
        <w:t xml:space="preserve">Name: ___________________________</w:t>
      </w:r>
    </w:p>
    <w:p>
      <w:pPr>
        <w:pStyle w:val="BodyText"/>
      </w:pPr>
      <w:r>
        <w:t xml:space="preserve">Title: Lead Mechatronics Engineer</w:t>
      </w:r>
    </w:p>
    <w:p>
      <w:pPr>
        <w:pStyle w:val="BodyText"/>
      </w:pPr>
      <w:r>
        <w:t xml:space="preserve">License No. (SCFAR): _____________</w:t>
      </w:r>
    </w:p>
    <w:p>
      <w:pPr>
        <w:pStyle w:val="BodyText"/>
      </w:pPr>
      <w:r>
        <w:t xml:space="preserve">Signature: _________________________</w:t>
      </w:r>
    </w:p>
    <w:p>
      <w:pPr>
        <w:pStyle w:val="BodyText"/>
      </w:pPr>
      <w:r>
        <w:t xml:space="preserve">Date: ___________________________</w:t>
      </w:r>
    </w:p>
    <w:bookmarkEnd w:id="27"/>
    <w:bookmarkStart w:id="28" w:name="accepted-by-client-representative"/>
    <w:p>
      <w:pPr>
        <w:pStyle w:val="Heading3"/>
      </w:pPr>
      <w:r>
        <w:t xml:space="preserve">Accepted By (Client Representative)</w:t>
      </w:r>
    </w:p>
    <w:p>
      <w:pPr>
        <w:pStyle w:val="FirstParagraph"/>
      </w:pPr>
      <w:r>
        <w:t xml:space="preserve">Name: ___________________________</w:t>
      </w:r>
    </w:p>
    <w:p>
      <w:pPr>
        <w:pStyle w:val="BodyText"/>
      </w:pPr>
      <w:r>
        <w:t xml:space="preserve">Title: ___________________________</w:t>
      </w:r>
    </w:p>
    <w:p>
      <w:pPr>
        <w:pStyle w:val="BodyText"/>
      </w:pPr>
      <w:r>
        <w:t xml:space="preserve">Company: ___________________________</w:t>
      </w:r>
    </w:p>
    <w:p>
      <w:pPr>
        <w:pStyle w:val="BodyText"/>
      </w:pPr>
      <w:r>
        <w:t xml:space="preserve">Signature: _________________________</w:t>
      </w:r>
    </w:p>
    <w:p>
      <w:pPr>
        <w:pStyle w:val="BodyText"/>
      </w:pPr>
      <w:r>
        <w:t xml:space="preserve">Date: ___________________________</w:t>
      </w:r>
    </w:p>
    <w:bookmarkEnd w:id="28"/>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QTE-2025-RYD-ME-0047 | Page 1 of 1 | Issued in Riyadh, Saudi Arabia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Saudi Arabia Riyadh</dc:title>
  <dc:creator/>
  <dc:language>en</dc:language>
  <cp:keywords/>
  <dcterms:created xsi:type="dcterms:W3CDTF">2026-10-10T00:30:54Z</dcterms:created>
  <dcterms:modified xsi:type="dcterms:W3CDTF">2026-10-10T00:30:54Z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