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IBERTECH MECHATRONICS SOLUTIONS S.L.</w:t>
      </w:r>
    </w:p>
    <w:p>
      <w:pPr>
        <w:pStyle w:val="BodyText"/>
      </w:pPr>
      <w:r>
        <w:t xml:space="preserve">Calle de Serrano 128, 4th Floor, 28006 Madrid, Spain</w:t>
      </w:r>
    </w:p>
    <w:p>
      <w:pPr>
        <w:pStyle w:val="BodyText"/>
      </w:pPr>
      <w:r>
        <w:t xml:space="preserve">Tel: +34 91 555 0142 | Email: quotes@ibermech.es | CIF: B-87654321</w:t>
      </w:r>
    </w:p>
    <w:p>
      <w:pPr>
        <w:pStyle w:val="BodyText"/>
      </w:pPr>
      <w:r>
        <w:t xml:space="preserve">Registered in the Commercial Registry of Madrid, Volume 4521, Folio 89, Sheet M-67890</w:t>
      </w:r>
    </w:p>
    <w:bookmarkEnd w:id="20"/>
    <w:p>
      <w:pPr>
        <w:pStyle w:val="BodyText"/>
      </w:pPr>
      <w:r>
        <w:rPr>
          <w:bCs/>
          <w:b/>
        </w:rPr>
        <w:t xml:space="preserve">Quotation Estimate No.:</w:t>
      </w:r>
      <w:r>
        <w:t xml:space="preserve"> </w:t>
      </w:r>
      <w:r>
        <w:t xml:space="preserve">QTE-2025-MAD-0347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Spain Madrid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Industrial del Centro S.A.</w:t>
            </w:r>
          </w:p>
        </w:tc>
      </w:tr>
      <w:tr>
        <w:tc>
          <w:tcPr/>
          <w:p>
            <w:pPr>
              <w:pStyle w:val="Compact"/>
              <w:jc w:val="left"/>
            </w:pPr>
            <w:r>
              <w:rPr>
                <w:bCs/>
                <w:b/>
              </w:rPr>
              <w:t xml:space="preserve">Contact Person:</w:t>
            </w:r>
          </w:p>
        </w:tc>
        <w:tc>
          <w:tcPr/>
          <w:p>
            <w:pPr>
              <w:pStyle w:val="Compact"/>
              <w:jc w:val="left"/>
            </w:pPr>
            <w:r>
              <w:t xml:space="preserve">Ing. Carlos Mendoza, Director of Operations</w:t>
            </w:r>
          </w:p>
        </w:tc>
      </w:tr>
      <w:tr>
        <w:tc>
          <w:tcPr/>
          <w:p>
            <w:pPr>
              <w:pStyle w:val="Compact"/>
              <w:jc w:val="left"/>
            </w:pPr>
            <w:r>
              <w:rPr>
                <w:bCs/>
                <w:b/>
              </w:rPr>
              <w:t xml:space="preserve">Address:</w:t>
            </w:r>
          </w:p>
        </w:tc>
        <w:tc>
          <w:tcPr/>
          <w:p>
            <w:pPr>
              <w:pStyle w:val="Compact"/>
              <w:jc w:val="left"/>
            </w:pPr>
            <w:r>
              <w:t xml:space="preserve">Paseo de la Castellana 210, 28046 Madrid, Spain</w:t>
            </w:r>
          </w:p>
        </w:tc>
      </w:tr>
      <w:tr>
        <w:tc>
          <w:tcPr/>
          <w:p>
            <w:pPr>
              <w:pStyle w:val="Compact"/>
              <w:jc w:val="left"/>
            </w:pPr>
            <w:r>
              <w:rPr>
                <w:bCs/>
                <w:b/>
              </w:rPr>
              <w:t xml:space="preserve">CIF:</w:t>
            </w:r>
          </w:p>
        </w:tc>
        <w:tc>
          <w:tcPr/>
          <w:p>
            <w:pPr>
              <w:pStyle w:val="Compact"/>
              <w:jc w:val="left"/>
            </w:pPr>
            <w:r>
              <w:t xml:space="preserve">A-29876543</w:t>
            </w:r>
          </w:p>
        </w:tc>
      </w:tr>
      <w:tr>
        <w:tc>
          <w:tcPr/>
          <w:p>
            <w:pPr>
              <w:pStyle w:val="Compact"/>
              <w:jc w:val="left"/>
            </w:pPr>
            <w:r>
              <w:rPr>
                <w:bCs/>
                <w:b/>
              </w:rPr>
              <w:t xml:space="preserve">Email:</w:t>
            </w:r>
          </w:p>
        </w:tc>
        <w:tc>
          <w:tcPr/>
          <w:p>
            <w:pPr>
              <w:pStyle w:val="Compact"/>
              <w:jc w:val="left"/>
            </w:pPr>
            <w:r>
              <w:t xml:space="preserve">c.mendoza@grupocentro.es</w:t>
            </w:r>
          </w:p>
        </w:tc>
      </w:tr>
    </w:tbl>
    <w:bookmarkEnd w:id="21"/>
    <w:bookmarkStart w:id="22" w:name="Xbd1e2d33486c37068aa6134a884d697173a8f36"/>
    <w:p>
      <w:pPr>
        <w:pStyle w:val="Heading2"/>
      </w:pPr>
      <w:r>
        <w:t xml:space="preserve">2. Scope of Work – Mechatronics Engineer Services</w:t>
      </w:r>
    </w:p>
    <w:p>
      <w:pPr>
        <w:pStyle w:val="FirstParagraph"/>
      </w:pPr>
      <w:r>
        <w:t xml:space="preserve">This</w:t>
      </w:r>
      <w:r>
        <w:t xml:space="preserve"> </w:t>
      </w:r>
      <w:r>
        <w:t xml:space="preserve">Quotation Estimate</w:t>
      </w:r>
      <w:r>
        <w:t xml:space="preserve"> </w:t>
      </w:r>
      <w:r>
        <w:t xml:space="preserve">is issued by IberTech Mechatronics Solutions S.L. to provide comprehensive professional services rendered by a senior</w:t>
      </w:r>
      <w:r>
        <w:t xml:space="preserve"> </w:t>
      </w:r>
      <w:r>
        <w:t xml:space="preserve">Mechatronics Engineer</w:t>
      </w:r>
      <w:r>
        <w:t xml:space="preserve"> </w:t>
      </w:r>
      <w:r>
        <w:t xml:space="preserve">for the industrial automation and control systems project located in</w:t>
      </w:r>
      <w:r>
        <w:t xml:space="preserve"> </w:t>
      </w:r>
      <w:r>
        <w:t xml:space="preserve">Spain Madrid</w:t>
      </w:r>
      <w:r>
        <w:t xml:space="preserve">. The scope encompasses the design, integration, commissioning, and ongoing technical support of mechatronic systems within the client's manufacturing facility situated in the industrial zone of Madrid, Spain.</w:t>
      </w:r>
    </w:p>
    <w:p>
      <w:pPr>
        <w:pStyle w:val="BodyText"/>
      </w:pPr>
      <w:r>
        <w:t xml:space="preserve">The</w:t>
      </w:r>
      <w:r>
        <w:t xml:space="preserve"> </w:t>
      </w:r>
      <w:r>
        <w:t xml:space="preserve">Mechatronics Engineer</w:t>
      </w:r>
      <w:r>
        <w:t xml:space="preserve"> </w:t>
      </w:r>
      <w:r>
        <w:t xml:space="preserve">assigned to this project will hold a degree in Mechatronics Engineering (Ingeniería de Mecatrónica) from a recognised Spanish university, possess a minimum of twelve (12) years of professional experience in industrial automation, PLC programming, robotic cell integration, and SCADA system development. The engineer will operate in full compliance with the technical regulations established by the Spanish Ministry of Industry, Trade and Tourism, as well as the applicable European Union directives regarding machinery safety and electrical installations in the region of</w:t>
      </w:r>
      <w:r>
        <w:t xml:space="preserve"> </w:t>
      </w:r>
      <w:r>
        <w:t xml:space="preserve">Spain Madrid</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assessment and feasibility study of existing mechatronic infrastructure at the client's facility in Spain Madrid</w:t>
            </w:r>
          </w:p>
        </w:tc>
        <w:tc>
          <w:tcPr/>
          <w:p>
            <w:pPr>
              <w:pStyle w:val="Compact"/>
              <w:jc w:val="left"/>
            </w:pPr>
            <w:r>
              <w:t xml:space="preserve">5 working days</w:t>
            </w:r>
          </w:p>
        </w:tc>
        <w:tc>
          <w:tcPr/>
          <w:p>
            <w:pPr>
              <w:pStyle w:val="Compact"/>
              <w:jc w:val="left"/>
            </w:pPr>
            <w:r>
              <w:t xml:space="preserve">€185.00 / day</w:t>
            </w:r>
          </w:p>
        </w:tc>
        <w:tc>
          <w:tcPr/>
          <w:p>
            <w:pPr>
              <w:pStyle w:val="Compact"/>
              <w:jc w:val="left"/>
            </w:pPr>
            <w:r>
              <w:t xml:space="preserve">€925.00</w:t>
            </w:r>
          </w:p>
        </w:tc>
      </w:tr>
      <w:tr>
        <w:tc>
          <w:tcPr/>
          <w:p>
            <w:pPr>
              <w:pStyle w:val="Compact"/>
              <w:jc w:val="left"/>
            </w:pPr>
            <w:r>
              <w:t xml:space="preserve">02</w:t>
            </w:r>
          </w:p>
        </w:tc>
        <w:tc>
          <w:tcPr/>
          <w:p>
            <w:pPr>
              <w:pStyle w:val="Compact"/>
              <w:jc w:val="left"/>
            </w:pPr>
            <w:r>
              <w:t xml:space="preserve">System architecture design and engineering documentation for the new automated production line (mechanical, electrical, and software integration)</w:t>
            </w:r>
          </w:p>
        </w:tc>
        <w:tc>
          <w:tcPr/>
          <w:p>
            <w:pPr>
              <w:pStyle w:val="Compact"/>
              <w:jc w:val="left"/>
            </w:pPr>
            <w:r>
              <w:t xml:space="preserve">20 working days</w:t>
            </w:r>
          </w:p>
        </w:tc>
        <w:tc>
          <w:tcPr/>
          <w:p>
            <w:pPr>
              <w:pStyle w:val="Compact"/>
              <w:jc w:val="left"/>
            </w:pPr>
            <w:r>
              <w:t xml:space="preserve">€195.00 / day</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PLC and HMI programming, including Siemens S7-1500 and Allen-Bradley ControlLogix configurations</w:t>
            </w:r>
          </w:p>
        </w:tc>
        <w:tc>
          <w:tcPr/>
          <w:p>
            <w:pPr>
              <w:pStyle w:val="Compact"/>
              <w:jc w:val="left"/>
            </w:pPr>
            <w:r>
              <w:t xml:space="preserve">15 working days</w:t>
            </w:r>
          </w:p>
        </w:tc>
        <w:tc>
          <w:tcPr/>
          <w:p>
            <w:pPr>
              <w:pStyle w:val="Compact"/>
              <w:jc w:val="left"/>
            </w:pPr>
            <w:r>
              <w:t xml:space="preserve">€205.00 / day</w:t>
            </w:r>
          </w:p>
        </w:tc>
        <w:tc>
          <w:tcPr/>
          <w:p>
            <w:pPr>
              <w:pStyle w:val="Compact"/>
              <w:jc w:val="left"/>
            </w:pPr>
            <w:r>
              <w:t xml:space="preserve">€3,075.00</w:t>
            </w:r>
          </w:p>
        </w:tc>
      </w:tr>
      <w:tr>
        <w:tc>
          <w:tcPr/>
          <w:p>
            <w:pPr>
              <w:pStyle w:val="Compact"/>
              <w:jc w:val="left"/>
            </w:pPr>
            <w:r>
              <w:t xml:space="preserve">04</w:t>
            </w:r>
          </w:p>
        </w:tc>
        <w:tc>
          <w:tcPr/>
          <w:p>
            <w:pPr>
              <w:pStyle w:val="Compact"/>
              <w:jc w:val="left"/>
            </w:pPr>
            <w:r>
              <w:t xml:space="preserve">Robotic cell integration and kinematic calibration (KUKA KR-210, 4-axis configuration)</w:t>
            </w:r>
          </w:p>
        </w:tc>
        <w:tc>
          <w:tcPr/>
          <w:p>
            <w:pPr>
              <w:pStyle w:val="Compact"/>
              <w:jc w:val="left"/>
            </w:pPr>
            <w:r>
              <w:t xml:space="preserve">10 working days</w:t>
            </w:r>
          </w:p>
        </w:tc>
        <w:tc>
          <w:tcPr/>
          <w:p>
            <w:pPr>
              <w:pStyle w:val="Compact"/>
              <w:jc w:val="left"/>
            </w:pPr>
            <w:r>
              <w:t xml:space="preserve">€215.00 / day</w:t>
            </w:r>
          </w:p>
        </w:tc>
        <w:tc>
          <w:tcPr/>
          <w:p>
            <w:pPr>
              <w:pStyle w:val="Compact"/>
              <w:jc w:val="left"/>
            </w:pPr>
            <w:r>
              <w:t xml:space="preserve">€2,150.00</w:t>
            </w:r>
          </w:p>
        </w:tc>
      </w:tr>
      <w:tr>
        <w:tc>
          <w:tcPr/>
          <w:p>
            <w:pPr>
              <w:pStyle w:val="Compact"/>
              <w:jc w:val="left"/>
            </w:pPr>
            <w:r>
              <w:t xml:space="preserve">05</w:t>
            </w:r>
          </w:p>
        </w:tc>
        <w:tc>
          <w:tcPr/>
          <w:p>
            <w:pPr>
              <w:pStyle w:val="Compact"/>
              <w:jc w:val="left"/>
            </w:pPr>
            <w:r>
              <w:t xml:space="preserve">SCADA and industrial IoT platform deployment for real-time monitoring and predictive maintenance</w:t>
            </w:r>
          </w:p>
        </w:tc>
        <w:tc>
          <w:tcPr/>
          <w:p>
            <w:pPr>
              <w:pStyle w:val="Compact"/>
              <w:jc w:val="left"/>
            </w:pPr>
            <w:r>
              <w:t xml:space="preserve">12 working days</w:t>
            </w:r>
          </w:p>
        </w:tc>
        <w:tc>
          <w:tcPr/>
          <w:p>
            <w:pPr>
              <w:pStyle w:val="Compact"/>
              <w:jc w:val="left"/>
            </w:pPr>
            <w:r>
              <w:t xml:space="preserve">€200.00 / day</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On-site commissioning, functional testing, and FAT/SAT execution in Spain Madrid</w:t>
            </w:r>
          </w:p>
        </w:tc>
        <w:tc>
          <w:tcPr/>
          <w:p>
            <w:pPr>
              <w:pStyle w:val="Compact"/>
              <w:jc w:val="left"/>
            </w:pPr>
            <w:r>
              <w:t xml:space="preserve">8 working days</w:t>
            </w:r>
          </w:p>
        </w:tc>
        <w:tc>
          <w:tcPr/>
          <w:p>
            <w:pPr>
              <w:pStyle w:val="Compact"/>
              <w:jc w:val="left"/>
            </w:pPr>
            <w:r>
              <w:t xml:space="preserve">€210.00 / day</w:t>
            </w:r>
          </w:p>
        </w:tc>
        <w:tc>
          <w:tcPr/>
          <w:p>
            <w:pPr>
              <w:pStyle w:val="Compact"/>
              <w:jc w:val="left"/>
            </w:pPr>
            <w:r>
              <w:t xml:space="preserve">€1,680.00</w:t>
            </w:r>
          </w:p>
        </w:tc>
      </w:tr>
      <w:tr>
        <w:tc>
          <w:tcPr/>
          <w:p>
            <w:pPr>
              <w:pStyle w:val="Compact"/>
              <w:jc w:val="left"/>
            </w:pPr>
            <w:r>
              <w:t xml:space="preserve">07</w:t>
            </w:r>
          </w:p>
        </w:tc>
        <w:tc>
          <w:tcPr/>
          <w:p>
            <w:pPr>
              <w:pStyle w:val="Compact"/>
              <w:jc w:val="left"/>
            </w:pPr>
            <w:r>
              <w:t xml:space="preserve">Operator training programme (4 sessions, up to 12 personnel per session) and technical documentation handover</w:t>
            </w:r>
          </w:p>
        </w:tc>
        <w:tc>
          <w:tcPr/>
          <w:p>
            <w:pPr>
              <w:pStyle w:val="Compact"/>
              <w:jc w:val="left"/>
            </w:pPr>
            <w:r>
              <w:t xml:space="preserve">4 days</w:t>
            </w:r>
          </w:p>
        </w:tc>
        <w:tc>
          <w:tcPr/>
          <w:p>
            <w:pPr>
              <w:pStyle w:val="Compact"/>
              <w:jc w:val="left"/>
            </w:pPr>
            <w:r>
              <w:t xml:space="preserve">€175.00 / day</w:t>
            </w:r>
          </w:p>
        </w:tc>
        <w:tc>
          <w:tcPr/>
          <w:p>
            <w:pPr>
              <w:pStyle w:val="Compact"/>
              <w:jc w:val="left"/>
            </w:pPr>
            <w:r>
              <w:t xml:space="preserve">€700.00</w:t>
            </w:r>
          </w:p>
        </w:tc>
      </w:tr>
      <w:tr>
        <w:tc>
          <w:tcPr/>
          <w:p>
            <w:pPr>
              <w:pStyle w:val="Compact"/>
              <w:jc w:val="left"/>
            </w:pPr>
            <w:r>
              <w:t xml:space="preserve">08</w:t>
            </w:r>
          </w:p>
        </w:tc>
        <w:tc>
          <w:tcPr/>
          <w:p>
            <w:pPr>
              <w:pStyle w:val="Compact"/>
              <w:jc w:val="left"/>
            </w:pPr>
            <w:r>
              <w:t xml:space="preserve">Post-commissioning technical support and warranty period (6 months, remote and on-call in Spain Madrid)</w:t>
            </w:r>
          </w:p>
        </w:tc>
        <w:tc>
          <w:tcPr/>
          <w:p>
            <w:pPr>
              <w:pStyle w:val="Compact"/>
              <w:jc w:val="left"/>
            </w:pPr>
            <w:r>
              <w:t xml:space="preserve">6 months</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09</w:t>
            </w:r>
          </w:p>
        </w:tc>
        <w:tc>
          <w:tcPr/>
          <w:p>
            <w:pPr>
              <w:pStyle w:val="Compact"/>
              <w:jc w:val="left"/>
            </w:pPr>
            <w:r>
              <w:t xml:space="preserve">Travel, accommodation, and local transport expenses within the Madrid metropolitan area</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€1,450.00</w:t>
            </w:r>
          </w:p>
        </w:tc>
      </w:tr>
      <w:tr>
        <w:tc>
          <w:tcPr>
            <w:gridSpan w:val="4"/>
          </w:tcPr>
          <w:p>
            <w:pPr>
              <w:pStyle w:val="Compact"/>
              <w:jc w:val="left"/>
            </w:pPr>
            <w:r>
              <w:rPr>
                <w:bCs/>
                <w:b/>
              </w:rPr>
              <w:t xml:space="preserve">Subtotal (before VAT)</w:t>
            </w:r>
          </w:p>
        </w:tc>
        <w:tc>
          <w:tcPr/>
          <w:p>
            <w:pPr>
              <w:pStyle w:val="Compact"/>
              <w:jc w:val="left"/>
            </w:pPr>
            <w:r>
              <w:rPr>
                <w:bCs/>
                <w:b/>
              </w:rPr>
              <w:t xml:space="preserve">€23,480.00</w:t>
            </w:r>
          </w:p>
        </w:tc>
      </w:tr>
      <w:tr>
        <w:tc>
          <w:tcPr>
            <w:gridSpan w:val="4"/>
          </w:tcPr>
          <w:p>
            <w:pPr>
              <w:pStyle w:val="Compact"/>
              <w:jc w:val="left"/>
            </w:pPr>
            <w:r>
              <w:rPr>
                <w:bCs/>
                <w:b/>
              </w:rPr>
              <w:t xml:space="preserve">VAT (IVA) – 21% (Spanish standard rate)</w:t>
            </w:r>
          </w:p>
        </w:tc>
        <w:tc>
          <w:tcPr/>
          <w:p>
            <w:pPr>
              <w:pStyle w:val="Compact"/>
              <w:jc w:val="left"/>
            </w:pPr>
            <w:r>
              <w:rPr>
                <w:bCs/>
                <w:b/>
              </w:rPr>
              <w:t xml:space="preserve">€4,930.80</w:t>
            </w:r>
          </w:p>
        </w:tc>
      </w:tr>
      <w:tr>
        <w:tc>
          <w:tcPr>
            <w:gridSpan w:val="4"/>
          </w:tcPr>
          <w:p>
            <w:pPr>
              <w:pStyle w:val="Compact"/>
              <w:jc w:val="left"/>
            </w:pPr>
            <w:r>
              <w:rPr>
                <w:bCs/>
                <w:b/>
              </w:rPr>
              <w:t xml:space="preserve">TOTAL AMOUNT DUE (EUR)</w:t>
            </w:r>
          </w:p>
        </w:tc>
        <w:tc>
          <w:tcPr/>
          <w:p>
            <w:pPr>
              <w:pStyle w:val="Compact"/>
              <w:jc w:val="left"/>
            </w:pPr>
            <w:r>
              <w:rPr>
                <w:bCs/>
                <w:b/>
              </w:rPr>
              <w:t xml:space="preserve">€28,410.80</w:t>
            </w:r>
          </w:p>
        </w:tc>
      </w:tr>
    </w:tbl>
    <w:bookmarkEnd w:id="23"/>
    <w:bookmarkStart w:id="24" w:name="payment-terms"/>
    <w:p>
      <w:pPr>
        <w:pStyle w:val="Heading2"/>
      </w:pPr>
      <w:r>
        <w:t xml:space="preserve">4. Payment Terms</w:t>
      </w:r>
    </w:p>
    <w:p>
      <w:pPr>
        <w:pStyle w:val="FirstParagraph"/>
      </w:pPr>
      <w:r>
        <w:t xml:space="preserve">All payments referenced in this</w:t>
      </w:r>
      <w:r>
        <w:t xml:space="preserve"> </w:t>
      </w:r>
      <w:r>
        <w:t xml:space="preserve">Quotation Estimate</w:t>
      </w:r>
      <w:r>
        <w:t xml:space="preserve"> </w:t>
      </w:r>
      <w:r>
        <w:t xml:space="preserve">shall be made via bank transfer to the account of IberTech Mechatronics Solutions S.L. at Banco Santander, IBAN: ES91 0049 0001 5320 1234 5678, in Madrid, Spain. The payment schedule is structured as follows:</w:t>
      </w:r>
    </w:p>
    <w:p>
      <w:pPr>
        <w:numPr>
          <w:ilvl w:val="0"/>
          <w:numId w:val="1001"/>
        </w:numPr>
        <w:pStyle w:val="Compact"/>
      </w:pPr>
      <w:r>
        <w:rPr>
          <w:bCs/>
          <w:b/>
        </w:rPr>
        <w:t xml:space="preserve">30% advance payment</w:t>
      </w:r>
      <w:r>
        <w:t xml:space="preserve"> </w:t>
      </w:r>
      <w:r>
        <w:t xml:space="preserve">(€8,523.24) upon formal acceptance of this Quotation Estimate and signing of the service contract.</w:t>
      </w:r>
    </w:p>
    <w:p>
      <w:pPr>
        <w:numPr>
          <w:ilvl w:val="0"/>
          <w:numId w:val="1001"/>
        </w:numPr>
        <w:pStyle w:val="Compact"/>
      </w:pPr>
      <w:r>
        <w:rPr>
          <w:bCs/>
          <w:b/>
        </w:rPr>
        <w:t xml:space="preserve">40% milestone payment</w:t>
      </w:r>
      <w:r>
        <w:t xml:space="preserve"> </w:t>
      </w:r>
      <w:r>
        <w:t xml:space="preserve">(€11,364.32) upon completion of the design phase and delivery of engineering documentation.</w:t>
      </w:r>
    </w:p>
    <w:p>
      <w:pPr>
        <w:numPr>
          <w:ilvl w:val="0"/>
          <w:numId w:val="1001"/>
        </w:numPr>
        <w:pStyle w:val="Compact"/>
      </w:pPr>
      <w:r>
        <w:rPr>
          <w:bCs/>
          <w:b/>
        </w:rPr>
        <w:t xml:space="preserve">20% progress payment</w:t>
      </w:r>
      <w:r>
        <w:t xml:space="preserve"> </w:t>
      </w:r>
      <w:r>
        <w:t xml:space="preserve">(€5,682.16) upon successful completion of on-site commissioning in Spain Madrid.</w:t>
      </w:r>
    </w:p>
    <w:p>
      <w:pPr>
        <w:numPr>
          <w:ilvl w:val="0"/>
          <w:numId w:val="1001"/>
        </w:numPr>
        <w:pStyle w:val="Compact"/>
      </w:pPr>
      <w:r>
        <w:rPr>
          <w:bCs/>
          <w:b/>
        </w:rPr>
        <w:t xml:space="preserve">10% final payment</w:t>
      </w:r>
      <w:r>
        <w:t xml:space="preserve"> </w:t>
      </w:r>
      <w:r>
        <w:t xml:space="preserve">(€2,841.08) upon closure of the warranty period and final acceptance by the client.</w:t>
      </w:r>
    </w:p>
    <w:p>
      <w:pPr>
        <w:pStyle w:val="FirstParagraph"/>
      </w:pPr>
      <w:r>
        <w:t xml:space="preserve">Overdue payments shall accrue interest at the rate established by the Spanish Law on Late Payment in Commercial Transactions (Ley 3/2004), currently set at the European Central Bank reference rate plus 10 percentage points.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component costs and labour rates in the</w:t>
      </w:r>
      <w:r>
        <w:t xml:space="preserve"> </w:t>
      </w:r>
      <w:r>
        <w:t xml:space="preserve">Spain Madrid</w:t>
      </w:r>
      <w:r>
        <w:t xml:space="preserve"> </w:t>
      </w:r>
      <w:r>
        <w:t xml:space="preserve">region.</w:t>
      </w:r>
    </w:p>
    <w:p>
      <w:pPr>
        <w:numPr>
          <w:ilvl w:val="0"/>
          <w:numId w:val="1002"/>
        </w:numPr>
        <w:pStyle w:val="Compact"/>
      </w:pPr>
      <w:r>
        <w:t xml:space="preserve">The</w:t>
      </w:r>
      <w:r>
        <w:t xml:space="preserve"> </w:t>
      </w:r>
      <w:r>
        <w:t xml:space="preserve">Mechatronics Engineer</w:t>
      </w:r>
      <w:r>
        <w:t xml:space="preserve"> </w:t>
      </w:r>
      <w:r>
        <w:t xml:space="preserve">shall comply with all applicable occupational health and safety regulations (Ley 31/1995 de Prevención de Riesgos Laborales) while working on-site in Spain Madrid.</w:t>
      </w:r>
    </w:p>
    <w:p>
      <w:pPr>
        <w:numPr>
          <w:ilvl w:val="0"/>
          <w:numId w:val="1002"/>
        </w:numPr>
        <w:pStyle w:val="Compact"/>
      </w:pPr>
      <w:r>
        <w:t xml:space="preserve">All intellectual property generated specifically for the client under this engagement shall be transferred to the client upon full payment. Pre-existing methodologies, libraries, and tools remain the property of IberTech Mechatronics Solutions S.L.</w:t>
      </w:r>
    </w:p>
    <w:p>
      <w:pPr>
        <w:numPr>
          <w:ilvl w:val="0"/>
          <w:numId w:val="1002"/>
        </w:numPr>
        <w:pStyle w:val="Compact"/>
      </w:pPr>
      <w:r>
        <w:t xml:space="preserve">The client agrees to provide safe access to the work premises, necessary utilities, and any third-party vendor coordination required for the successful execution of the project in Spain Madrid.</w:t>
      </w:r>
    </w:p>
    <w:p>
      <w:pPr>
        <w:numPr>
          <w:ilvl w:val="0"/>
          <w:numId w:val="1002"/>
        </w:numPr>
        <w:pStyle w:val="Compact"/>
      </w:pPr>
      <w:r>
        <w:t xml:space="preserve">Any changes to the scope of work beyond the parameters described herein shall be subject to a formal variation order and a supplementary Quotation Estimate issued by our engineering team.</w:t>
      </w:r>
    </w:p>
    <w:p>
      <w:pPr>
        <w:numPr>
          <w:ilvl w:val="0"/>
          <w:numId w:val="1002"/>
        </w:numPr>
        <w:pStyle w:val="Compact"/>
      </w:pPr>
      <w:r>
        <w:t xml:space="preserve">Disputes arising from this agreement shall be resolved through the courts of Madrid, Spain, in accordance with Spanish civil and commercial law.</w:t>
      </w:r>
    </w:p>
    <w:p>
      <w:pPr>
        <w:numPr>
          <w:ilvl w:val="0"/>
          <w:numId w:val="1002"/>
        </w:numPr>
        <w:pStyle w:val="Compact"/>
      </w:pPr>
      <w:r>
        <w:t xml:space="preserve">This Quotation Estimate does not constitute a binding contract until both parties have executed the definitive service agreement in writing.</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provision of</w:t>
      </w:r>
      <w:r>
        <w:t xml:space="preserve"> </w:t>
      </w:r>
      <w:r>
        <w:t xml:space="preserve">Mechatronics Engineer</w:t>
      </w:r>
      <w:r>
        <w:t xml:space="preserve"> </w:t>
      </w:r>
      <w:r>
        <w:t xml:space="preserve">services in</w:t>
      </w:r>
      <w:r>
        <w:t xml:space="preserve"> </w:t>
      </w:r>
      <w:r>
        <w:t xml:space="preserve">Spain Madrid</w:t>
      </w:r>
      <w:r>
        <w:t xml:space="preserve">.</w:t>
      </w:r>
    </w:p>
    <w:p>
      <w:pPr>
        <w:pStyle w:val="BodyText"/>
      </w:pPr>
      <w:r>
        <w:rPr>
          <w:bCs/>
          <w:b/>
        </w:rPr>
        <w:t xml:space="preserve">For IberTech Mechatronics Solutions S.L.</w:t>
      </w:r>
    </w:p>
    <w:p>
      <w:pPr>
        <w:pStyle w:val="BodyText"/>
      </w:pPr>
      <w:r>
        <w:t xml:space="preserve">Name: Ing. Laura Fernández</w:t>
      </w:r>
      <w:r>
        <w:br/>
      </w:r>
      <w:r>
        <w:t xml:space="preserve">Position: Chief Engineer &amp; Director</w:t>
      </w:r>
      <w:r>
        <w:br/>
      </w:r>
      <w:r>
        <w:t xml:space="preserve">Date: _______________</w:t>
      </w:r>
    </w:p>
    <w:p>
      <w:pPr>
        <w:pStyle w:val="BodyText"/>
      </w:pPr>
      <w:r>
        <w:rPr>
          <w:bCs/>
          <w:b/>
        </w:rPr>
        <w:t xml:space="preserve">For Grupo Industrial del Centro S.A.</w:t>
      </w:r>
    </w:p>
    <w:p>
      <w:pPr>
        <w:pStyle w:val="BodyText"/>
      </w:pPr>
      <w:r>
        <w:t xml:space="preserve">Name: Ing. Carlos Mendoza</w:t>
      </w:r>
      <w:r>
        <w:br/>
      </w:r>
      <w:r>
        <w:t xml:space="preserve">Position: Director of Operations</w:t>
      </w:r>
      <w:r>
        <w:br/>
      </w:r>
      <w:r>
        <w:t xml:space="preserve">Date: _______________</w:t>
      </w:r>
    </w:p>
    <w:p>
      <w:pPr>
        <w:pStyle w:val="BodyText"/>
      </w:pPr>
      <w:r>
        <w:rPr>
          <w:bCs/>
          <w:b/>
        </w:rPr>
        <w:t xml:space="preserve">Important Notice:</w:t>
      </w:r>
      <w:r>
        <w:t xml:space="preserve"> </w:t>
      </w:r>
      <w:r>
        <w:t xml:space="preserve">This Quotation Estimate (QTE-2025-MAD-0347) is a non-binding preliminary estimate prepared for the exclusive use of the client named herein. It does not guarantee final pricing and is subject to the terms and conditions outlined above. All figures are expressed in Euros (EUR) and include applicable Spanish Value Added Tax (IVA) at the standard rate of 21%. For any clarification regarding the scope of the Mechatronics Engineer services or the project execution in Spain Madrid, please contact our commercial department at quotes@ibermech.es or by telephone at +34 91 555 0142 during business hours (Monday to Friday, 09:00–18:00 CET).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Spain Madrid</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