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quotation-estimate"/>
    <w:p>
      <w:pPr>
        <w:pStyle w:val="Heading1"/>
      </w:pPr>
      <w:r>
        <w:t xml:space="preserve">Quotation Estimate</w:t>
      </w:r>
    </w:p>
    <w:p>
      <w:pPr>
        <w:pStyle w:val="FirstParagraph"/>
      </w:pPr>
      <w:r>
        <w:rPr>
          <w:bCs/>
          <w:b/>
        </w:rPr>
        <w:t xml:space="preserve">Nile Valley Engineering &amp; Automation Solutions (NVES)</w:t>
      </w:r>
    </w:p>
    <w:p>
      <w:pPr>
        <w:pStyle w:val="BodyText"/>
      </w:pPr>
      <w:r>
        <w:t xml:space="preserve">P.O. Box 4521, El-Khadra Street, Omdurman,</w:t>
      </w:r>
      <w:r>
        <w:t xml:space="preserve"> </w:t>
      </w:r>
      <w:r>
        <w:t xml:space="preserve">Sudan Khartoum</w:t>
      </w:r>
    </w:p>
    <w:p>
      <w:pPr>
        <w:pStyle w:val="BodyText"/>
      </w:pPr>
      <w:r>
        <w:t xml:space="preserve">Tel: +249-183-456-789 | Email: quotations@nves-sudan.com | CR No: SD-2019-08742</w:t>
      </w:r>
    </w:p>
    <w:bookmarkEnd w:id="20"/>
    <w:p>
      <w:pPr>
        <w:pStyle w:val="BodyText"/>
      </w:pPr>
      <w:r>
        <w:rPr>
          <w:bCs/>
          <w:b/>
        </w:rPr>
        <w:t xml:space="preserve">Quotation No:</w:t>
      </w:r>
      <w:r>
        <w:t xml:space="preserve"> </w:t>
      </w:r>
      <w:r>
        <w:t xml:space="preserve">NVES/QE/2025/0347</w:t>
      </w:r>
      <w:r>
        <w:br/>
      </w:r>
      <w:r>
        <w:rPr>
          <w:bCs/>
          <w:b/>
        </w:rPr>
        <w:t xml:space="preserve">Date Issued:</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Client:</w:t>
      </w:r>
      <w:r>
        <w:t xml:space="preserve"> </w:t>
      </w:r>
      <w:r>
        <w:t xml:space="preserve">Sudan Industrial Development Authority</w:t>
      </w:r>
      <w:r>
        <w:br/>
      </w:r>
      <w:r>
        <w:rPr>
          <w:bCs/>
          <w:b/>
        </w:rPr>
        <w:t xml:space="preserve">Project Site:</w:t>
      </w:r>
      <w:r>
        <w:t xml:space="preserve"> </w:t>
      </w:r>
      <w:r>
        <w:t xml:space="preserve">Industrial Zone,</w:t>
      </w:r>
      <w:r>
        <w:t xml:space="preserve"> </w:t>
      </w:r>
      <w:r>
        <w:t xml:space="preserve">Sudan Khartoum</w:t>
      </w:r>
      <w:r>
        <w:br/>
      </w:r>
      <w:r>
        <w:rPr>
          <w:bCs/>
          <w:b/>
        </w:rPr>
        <w:t xml:space="preserve">Prepared For:</w:t>
      </w:r>
      <w:r>
        <w:t xml:space="preserve"> </w:t>
      </w:r>
      <w:r>
        <w:t xml:space="preserve">Eng. Ahmed El-Tahir, Procurement Director</w:t>
      </w:r>
    </w:p>
    <w:bookmarkStart w:id="21" w:name="Xbd1e2d33486c37068aa6134a884d697173a8f36"/>
    <w:p>
      <w:pPr>
        <w:pStyle w:val="Heading2"/>
      </w:pPr>
      <w:r>
        <w:t xml:space="preserve">1. Scope of Work – Mechatronics Engineer Services</w:t>
      </w:r>
    </w:p>
    <w:p>
      <w:pPr>
        <w:pStyle w:val="FirstParagraph"/>
      </w:pPr>
      <w:r>
        <w:t xml:space="preserve">This</w:t>
      </w:r>
      <w:r>
        <w:t xml:space="preserve"> </w:t>
      </w:r>
      <w:r>
        <w:t xml:space="preserve">Quotation Estimate</w:t>
      </w:r>
      <w:r>
        <w:t xml:space="preserve"> </w:t>
      </w:r>
      <w:r>
        <w:t xml:space="preserve">is issued by Nile Valley Engineering &amp; Automation Solutions (NVES) in response to the formal request for professional services from the Sudan Industrial Development Authority. The scope encompasses the full engagement of a senior</w:t>
      </w:r>
      <w:r>
        <w:t xml:space="preserve"> </w:t>
      </w:r>
      <w:r>
        <w:t xml:space="preserve">Mechatronics Engineer</w:t>
      </w:r>
      <w:r>
        <w:t xml:space="preserve"> </w:t>
      </w:r>
      <w:r>
        <w:t xml:space="preserve">to design, commission, and maintain integrated electromechanical systems at the client's manufacturing facility located in the industrial zone of</w:t>
      </w:r>
      <w:r>
        <w:t xml:space="preserve"> </w:t>
      </w:r>
      <w:r>
        <w:t xml:space="preserve">Sudan Khartoum</w:t>
      </w:r>
      <w:r>
        <w:t xml:space="preserve">. The</w:t>
      </w:r>
      <w:r>
        <w:t xml:space="preserve"> </w:t>
      </w:r>
      <w:r>
        <w:t xml:space="preserve">Mechatronics Engineer</w:t>
      </w:r>
      <w:r>
        <w:t xml:space="preserve"> </w:t>
      </w:r>
      <w:r>
        <w:t xml:space="preserve">will be responsible for the complete lifecycle management of automated production lines, including PLC programming, industrial robotics integration, sensor network deployment, and predictive maintenance systems.</w:t>
      </w:r>
    </w:p>
    <w:p>
      <w:pPr>
        <w:pStyle w:val="BodyText"/>
      </w:pPr>
      <w:r>
        <w:t xml:space="preserve">The engagement is structured to ensure that all technical deliverables comply with Sudanese industrial standards (SS 2018) and international ISO 9001:2015 quality management requirements. The</w:t>
      </w:r>
      <w:r>
        <w:t xml:space="preserve"> </w:t>
      </w:r>
      <w:r>
        <w:t xml:space="preserve">Mechatronics Engineer</w:t>
      </w:r>
      <w:r>
        <w:t xml:space="preserve"> </w:t>
      </w:r>
      <w:r>
        <w:t xml:space="preserve">will operate on-site in</w:t>
      </w:r>
      <w:r>
        <w:t xml:space="preserve"> </w:t>
      </w:r>
      <w:r>
        <w:t xml:space="preserve">Sudan Khartoum</w:t>
      </w:r>
      <w:r>
        <w:t xml:space="preserve"> </w:t>
      </w:r>
      <w:r>
        <w:t xml:space="preserve">for a minimum of five (5) working days per week, with remote technical support available on weekends for critical system failures.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(SDG)</w:t>
            </w:r>
          </w:p>
        </w:tc>
        <w:tc>
          <w:tcPr/>
          <w:p>
            <w:pPr>
              <w:pStyle w:val="Compact"/>
              <w:jc w:val="left"/>
            </w:pPr>
            <w:r>
              <w:t xml:space="preserve">Amount (SDG)</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Senior</w:t>
            </w:r>
            <w:r>
              <w:t xml:space="preserve"> </w:t>
            </w:r>
            <w:r>
              <w:t xml:space="preserve">Mechatronics Engineer</w:t>
            </w:r>
            <w:r>
              <w:t xml:space="preserve"> </w:t>
            </w:r>
            <w:r>
              <w:t xml:space="preserve">– System Design &amp; Architecture (PLC, SCADA, HMI)</w:t>
            </w:r>
          </w:p>
        </w:tc>
        <w:tc>
          <w:tcPr/>
          <w:p>
            <w:pPr>
              <w:pStyle w:val="Compact"/>
              <w:jc w:val="left"/>
            </w:pPr>
            <w:r>
              <w:t xml:space="preserve">30 days</w:t>
            </w:r>
          </w:p>
        </w:tc>
        <w:tc>
          <w:tcPr/>
          <w:p>
            <w:pPr>
              <w:pStyle w:val="Compact"/>
              <w:jc w:val="left"/>
            </w:pPr>
            <w:r>
              <w:t xml:space="preserve">85,000</w:t>
            </w:r>
          </w:p>
        </w:tc>
        <w:tc>
          <w:tcPr/>
          <w:p>
            <w:pPr>
              <w:pStyle w:val="Compact"/>
              <w:jc w:val="left"/>
            </w:pPr>
            <w:r>
              <w:t xml:space="preserve">2,550,000</w:t>
            </w:r>
          </w:p>
        </w:tc>
        <w:tc>
          <w:tcPr/>
          <w:p>
            <w:pPr>
              <w:pStyle w:val="Compact"/>
              <w:jc w:val="left"/>
            </w:pPr>
            <w:r>
              <w:t xml:space="preserve">On-site,</w:t>
            </w:r>
            <w:r>
              <w:t xml:space="preserve"> </w:t>
            </w:r>
            <w:r>
              <w:t xml:space="preserve">Sudan Khartoum</w:t>
            </w:r>
          </w:p>
        </w:tc>
      </w:tr>
      <w:tr>
        <w:tc>
          <w:tcPr/>
          <w:p>
            <w:pPr>
              <w:pStyle w:val="Compact"/>
              <w:jc w:val="left"/>
            </w:pPr>
            <w:r>
              <w:t xml:space="preserve">2</w:t>
            </w:r>
          </w:p>
        </w:tc>
        <w:tc>
          <w:tcPr/>
          <w:p>
            <w:pPr>
              <w:pStyle w:val="Compact"/>
              <w:jc w:val="left"/>
            </w:pPr>
            <w:r>
              <w:t xml:space="preserve">Industrial Robotics Integration &amp; Calibration (6-axis robotic arms)</w:t>
            </w:r>
          </w:p>
        </w:tc>
        <w:tc>
          <w:tcPr/>
          <w:p>
            <w:pPr>
              <w:pStyle w:val="Compact"/>
              <w:jc w:val="left"/>
            </w:pPr>
            <w:r>
              <w:t xml:space="preserve">20 days</w:t>
            </w:r>
          </w:p>
        </w:tc>
        <w:tc>
          <w:tcPr/>
          <w:p>
            <w:pPr>
              <w:pStyle w:val="Compact"/>
              <w:jc w:val="left"/>
            </w:pPr>
            <w:r>
              <w:t xml:space="preserve">95,000</w:t>
            </w:r>
          </w:p>
        </w:tc>
        <w:tc>
          <w:tcPr/>
          <w:p>
            <w:pPr>
              <w:pStyle w:val="Compact"/>
              <w:jc w:val="left"/>
            </w:pPr>
            <w:r>
              <w:t xml:space="preserve">1,900,000</w:t>
            </w:r>
          </w:p>
        </w:tc>
        <w:tc>
          <w:tcPr/>
          <w:p>
            <w:pPr>
              <w:pStyle w:val="Compact"/>
              <w:jc w:val="left"/>
            </w:pPr>
            <w:r>
              <w:t xml:space="preserve">Includes FANUC &amp; KUKA programming</w:t>
            </w:r>
          </w:p>
        </w:tc>
      </w:tr>
      <w:tr>
        <w:tc>
          <w:tcPr/>
          <w:p>
            <w:pPr>
              <w:pStyle w:val="Compact"/>
              <w:jc w:val="left"/>
            </w:pPr>
            <w:r>
              <w:t xml:space="preserve">3</w:t>
            </w:r>
          </w:p>
        </w:tc>
        <w:tc>
          <w:tcPr/>
          <w:p>
            <w:pPr>
              <w:pStyle w:val="Compact"/>
              <w:jc w:val="left"/>
            </w:pPr>
            <w:r>
              <w:t xml:space="preserve">Sensor Network Deployment &amp; IoT Connectivity Setup</w:t>
            </w:r>
          </w:p>
        </w:tc>
        <w:tc>
          <w:tcPr/>
          <w:p>
            <w:pPr>
              <w:pStyle w:val="Compact"/>
              <w:jc w:val="left"/>
            </w:pPr>
            <w:r>
              <w:t xml:space="preserve">15 days</w:t>
            </w:r>
          </w:p>
        </w:tc>
        <w:tc>
          <w:tcPr/>
          <w:p>
            <w:pPr>
              <w:pStyle w:val="Compact"/>
              <w:jc w:val="left"/>
            </w:pPr>
            <w:r>
              <w:t xml:space="preserve">78,000</w:t>
            </w:r>
          </w:p>
        </w:tc>
        <w:tc>
          <w:tcPr/>
          <w:p>
            <w:pPr>
              <w:pStyle w:val="Compact"/>
              <w:jc w:val="left"/>
            </w:pPr>
            <w:r>
              <w:t xml:space="preserve">1,170,000</w:t>
            </w:r>
          </w:p>
        </w:tc>
        <w:tc>
          <w:tcPr/>
          <w:p>
            <w:pPr>
              <w:pStyle w:val="Compact"/>
              <w:jc w:val="left"/>
            </w:pPr>
            <w:r>
              <w:t xml:space="preserve">LoRaWAN &amp; 4G gateway installation</w:t>
            </w:r>
          </w:p>
        </w:tc>
      </w:tr>
      <w:tr>
        <w:tc>
          <w:tcPr/>
          <w:p>
            <w:pPr>
              <w:pStyle w:val="Compact"/>
              <w:jc w:val="left"/>
            </w:pPr>
            <w:r>
              <w:t xml:space="preserve">4</w:t>
            </w:r>
          </w:p>
        </w:tc>
        <w:tc>
          <w:tcPr/>
          <w:p>
            <w:pPr>
              <w:pStyle w:val="Compact"/>
              <w:jc w:val="left"/>
            </w:pPr>
            <w:r>
              <w:t xml:space="preserve">Predictive Maintenance System Development &amp; Training</w:t>
            </w:r>
          </w:p>
        </w:tc>
        <w:tc>
          <w:tcPr/>
          <w:p>
            <w:pPr>
              <w:pStyle w:val="Compact"/>
              <w:jc w:val="left"/>
            </w:pPr>
            <w:r>
              <w:t xml:space="preserve">10 days</w:t>
            </w:r>
          </w:p>
        </w:tc>
        <w:tc>
          <w:tcPr/>
          <w:p>
            <w:pPr>
              <w:pStyle w:val="Compact"/>
              <w:jc w:val="left"/>
            </w:pPr>
            <w:r>
              <w:t xml:space="preserve">82,000</w:t>
            </w:r>
          </w:p>
        </w:tc>
        <w:tc>
          <w:tcPr/>
          <w:p>
            <w:pPr>
              <w:pStyle w:val="Compact"/>
              <w:jc w:val="left"/>
            </w:pPr>
            <w:r>
              <w:t xml:space="preserve">820,000</w:t>
            </w:r>
          </w:p>
        </w:tc>
        <w:tc>
          <w:tcPr/>
          <w:p>
            <w:pPr>
              <w:pStyle w:val="Compact"/>
              <w:jc w:val="left"/>
            </w:pPr>
            <w:r>
              <w:t xml:space="preserve">Includes 2-day operator training</w:t>
            </w:r>
          </w:p>
        </w:tc>
      </w:tr>
      <w:tr>
        <w:tc>
          <w:tcPr/>
          <w:p>
            <w:pPr>
              <w:pStyle w:val="Compact"/>
              <w:jc w:val="left"/>
            </w:pPr>
            <w:r>
              <w:t xml:space="preserve">5</w:t>
            </w:r>
          </w:p>
        </w:tc>
        <w:tc>
          <w:tcPr/>
          <w:p>
            <w:pPr>
              <w:pStyle w:val="Compact"/>
              <w:jc w:val="left"/>
            </w:pPr>
            <w:r>
              <w:t xml:space="preserve">Technical Documentation, As-Built Drawings &amp; Handover</w:t>
            </w:r>
          </w:p>
        </w:tc>
        <w:tc>
          <w:tcPr/>
          <w:p>
            <w:pPr>
              <w:pStyle w:val="Compact"/>
              <w:jc w:val="left"/>
            </w:pPr>
            <w:r>
              <w:t xml:space="preserve">7 days</w:t>
            </w:r>
          </w:p>
        </w:tc>
        <w:tc>
          <w:tcPr/>
          <w:p>
            <w:pPr>
              <w:pStyle w:val="Compact"/>
              <w:jc w:val="left"/>
            </w:pPr>
            <w:r>
              <w:t xml:space="preserve">65,000</w:t>
            </w:r>
          </w:p>
        </w:tc>
        <w:tc>
          <w:tcPr/>
          <w:p>
            <w:pPr>
              <w:pStyle w:val="Compact"/>
              <w:jc w:val="left"/>
            </w:pPr>
            <w:r>
              <w:t xml:space="preserve">455,000</w:t>
            </w:r>
          </w:p>
        </w:tc>
        <w:tc>
          <w:tcPr/>
          <w:p>
            <w:pPr>
              <w:pStyle w:val="Compact"/>
              <w:jc w:val="left"/>
            </w:pPr>
            <w:r>
              <w:t xml:space="preserve">Arabic &amp; English documentation</w:t>
            </w:r>
          </w:p>
        </w:tc>
      </w:tr>
      <w:tr>
        <w:tc>
          <w:tcPr/>
          <w:p>
            <w:pPr>
              <w:pStyle w:val="Compact"/>
              <w:jc w:val="left"/>
            </w:pPr>
            <w:r>
              <w:t xml:space="preserve">6</w:t>
            </w:r>
          </w:p>
        </w:tc>
        <w:tc>
          <w:tcPr/>
          <w:p>
            <w:pPr>
              <w:pStyle w:val="Compact"/>
              <w:jc w:val="left"/>
            </w:pPr>
            <w:r>
              <w:t xml:space="preserve">Emergency Call-Out &amp; Troubleshooting (Monthly Retainer)</w:t>
            </w:r>
          </w:p>
        </w:tc>
        <w:tc>
          <w:tcPr/>
          <w:p>
            <w:pPr>
              <w:pStyle w:val="Compact"/>
              <w:jc w:val="left"/>
            </w:pPr>
            <w:r>
              <w:t xml:space="preserve">3 months</w:t>
            </w:r>
          </w:p>
        </w:tc>
        <w:tc>
          <w:tcPr/>
          <w:p>
            <w:pPr>
              <w:pStyle w:val="Compact"/>
              <w:jc w:val="left"/>
            </w:pPr>
            <w:r>
              <w:t xml:space="preserve">45,000/mo</w:t>
            </w:r>
          </w:p>
        </w:tc>
        <w:tc>
          <w:tcPr/>
          <w:p>
            <w:pPr>
              <w:pStyle w:val="Compact"/>
              <w:jc w:val="left"/>
            </w:pPr>
            <w:r>
              <w:t xml:space="preserve">135,000</w:t>
            </w:r>
          </w:p>
        </w:tc>
        <w:tc>
          <w:tcPr/>
          <w:p>
            <w:pPr>
              <w:pStyle w:val="Compact"/>
              <w:jc w:val="left"/>
            </w:pPr>
            <w:r>
              <w:t xml:space="preserve">24/7 response,</w:t>
            </w:r>
            <w:r>
              <w:t xml:space="preserve"> </w:t>
            </w:r>
            <w:r>
              <w:t xml:space="preserve">Sudan Khartoum</w:t>
            </w:r>
            <w:r>
              <w:t xml:space="preserve"> </w:t>
            </w:r>
            <w:r>
              <w:t xml:space="preserve">area</w:t>
            </w:r>
          </w:p>
        </w:tc>
      </w:tr>
      <w:tr>
        <w:tc>
          <w:tcPr/>
          <w:p>
            <w:pPr>
              <w:pStyle w:val="Compact"/>
              <w:jc w:val="left"/>
            </w:pPr>
            <w:r>
              <w:t xml:space="preserve">7</w:t>
            </w:r>
          </w:p>
        </w:tc>
        <w:tc>
          <w:tcPr/>
          <w:p>
            <w:pPr>
              <w:pStyle w:val="Compact"/>
              <w:jc w:val="left"/>
            </w:pPr>
            <w:r>
              <w:t xml:space="preserve">Travel, Accommodation &amp; Local Transport Allowance</w:t>
            </w:r>
          </w:p>
        </w:tc>
        <w:tc>
          <w:tcPr/>
          <w:p>
            <w:pPr>
              <w:pStyle w:val="Compact"/>
              <w:jc w:val="left"/>
            </w:pPr>
            <w:r>
              <w:t xml:space="preserve">82 days</w:t>
            </w:r>
          </w:p>
        </w:tc>
        <w:tc>
          <w:tcPr/>
          <w:p>
            <w:pPr>
              <w:pStyle w:val="Compact"/>
              <w:jc w:val="left"/>
            </w:pPr>
            <w:r>
              <w:t xml:space="preserve">12,000/day</w:t>
            </w:r>
          </w:p>
        </w:tc>
        <w:tc>
          <w:tcPr/>
          <w:p>
            <w:pPr>
              <w:pStyle w:val="Compact"/>
              <w:jc w:val="left"/>
            </w:pPr>
            <w:r>
              <w:t xml:space="preserve">984,000</w:t>
            </w:r>
          </w:p>
        </w:tc>
        <w:tc>
          <w:tcPr/>
          <w:p>
            <w:pPr>
              <w:pStyle w:val="Compact"/>
              <w:jc w:val="left"/>
            </w:pPr>
            <w:r>
              <w:t xml:space="preserve">Per Sudanese government rate</w:t>
            </w:r>
          </w:p>
        </w:tc>
      </w:tr>
      <w:tr>
        <w:tc>
          <w:tcPr>
            <w:gridSpan w:val="4"/>
          </w:tcPr>
          <w:p>
            <w:pPr>
              <w:pStyle w:val="Compact"/>
              <w:jc w:val="left"/>
            </w:pPr>
            <w:r>
              <w:t xml:space="preserve">Subtotal</w:t>
            </w:r>
          </w:p>
        </w:tc>
        <w:tc>
          <w:tcPr/>
          <w:p>
            <w:pPr>
              <w:pStyle w:val="Compact"/>
              <w:jc w:val="left"/>
            </w:pPr>
            <w:r>
              <w:t xml:space="preserve">9,214,000</w:t>
            </w:r>
          </w:p>
        </w:tc>
        <w:tc>
          <w:tcPr/>
          <w:p>
            <w:pPr>
              <w:pStyle w:val="Compact"/>
            </w:pPr>
          </w:p>
        </w:tc>
      </w:tr>
      <w:tr>
        <w:tc>
          <w:tcPr>
            <w:gridSpan w:val="4"/>
          </w:tcPr>
          <w:p>
            <w:pPr>
              <w:pStyle w:val="Compact"/>
              <w:jc w:val="left"/>
            </w:pPr>
            <w:r>
              <w:t xml:space="preserve">VAT (10% – Sudan Revenue Authority)</w:t>
            </w:r>
          </w:p>
        </w:tc>
        <w:tc>
          <w:tcPr/>
          <w:p>
            <w:pPr>
              <w:pStyle w:val="Compact"/>
              <w:jc w:val="left"/>
            </w:pPr>
            <w:r>
              <w:t xml:space="preserve">921,400</w:t>
            </w:r>
          </w:p>
        </w:tc>
        <w:tc>
          <w:tcPr/>
          <w:p>
            <w:pPr>
              <w:pStyle w:val="Compact"/>
            </w:pPr>
          </w:p>
        </w:tc>
      </w:tr>
      <w:tr>
        <w:tc>
          <w:tcPr>
            <w:gridSpan w:val="4"/>
          </w:tcPr>
          <w:p>
            <w:pPr>
              <w:pStyle w:val="Compact"/>
              <w:jc w:val="left"/>
            </w:pPr>
            <w:r>
              <w:rPr>
                <w:bCs/>
                <w:b/>
              </w:rPr>
              <w:t xml:space="preserve">TOTAL ESTIMATED COST (SDG)</w:t>
            </w:r>
          </w:p>
        </w:tc>
        <w:tc>
          <w:tcPr/>
          <w:p>
            <w:pPr>
              <w:pStyle w:val="Compact"/>
              <w:jc w:val="left"/>
            </w:pPr>
            <w:r>
              <w:rPr>
                <w:bCs/>
                <w:b/>
              </w:rPr>
              <w:t xml:space="preserve">10,135,400</w:t>
            </w:r>
          </w:p>
        </w:tc>
        <w:tc>
          <w:tcPr/>
          <w:p>
            <w:pPr>
              <w:pStyle w:val="Compact"/>
            </w:pPr>
          </w:p>
        </w:tc>
      </w:tr>
    </w:tbl>
    <w:p>
      <w:pPr>
        <w:pStyle w:val="BodyText"/>
      </w:pPr>
      <w:r>
        <w:rPr>
          <w:bCs/>
          <w:b/>
        </w:rPr>
        <w:t xml:space="preserve">Note:</w:t>
      </w:r>
      <w:r>
        <w:t xml:space="preserve"> </w:t>
      </w:r>
      <w:r>
        <w:t xml:space="preserve">This</w:t>
      </w:r>
      <w:r>
        <w:t xml:space="preserve"> </w:t>
      </w:r>
      <w:r>
        <w:t xml:space="preserve">Quotation Estimate</w:t>
      </w:r>
      <w:r>
        <w:t xml:space="preserve"> </w:t>
      </w:r>
      <w:r>
        <w:t xml:space="preserve">is based on current market rates in</w:t>
      </w:r>
      <w:r>
        <w:t xml:space="preserve"> </w:t>
      </w:r>
      <w:r>
        <w:t xml:space="preserve">Sudan Khartoum</w:t>
      </w:r>
      <w:r>
        <w:t xml:space="preserve"> </w:t>
      </w:r>
      <w:r>
        <w:t xml:space="preserve">as of June 2025. All figures are denominated in Sudanese Pounds (SDG). Should the client require the</w:t>
      </w:r>
      <w:r>
        <w:t xml:space="preserve"> </w:t>
      </w:r>
      <w:r>
        <w:t xml:space="preserve">Mechatronics Engineer</w:t>
      </w:r>
      <w:r>
        <w:t xml:space="preserve"> </w:t>
      </w:r>
      <w:r>
        <w:t xml:space="preserve">to work beyond the 82-day engagement period, additional days will be billed at the pro-rata daily rate specified above.</w:t>
      </w:r>
    </w:p>
    <w:bookmarkEnd w:id="22"/>
    <w:bookmarkStart w:id="23" w:name="payment-schedule"/>
    <w:p>
      <w:pPr>
        <w:pStyle w:val="Heading2"/>
      </w:pPr>
      <w:r>
        <w:t xml:space="preserve">3.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(SDG)</w:t>
            </w:r>
          </w:p>
        </w:tc>
        <w:tc>
          <w:tcPr/>
          <w:p>
            <w:pPr>
              <w:pStyle w:val="Compact"/>
              <w:jc w:val="left"/>
            </w:pPr>
            <w:r>
              <w:t xml:space="preserve">Due Date</w:t>
            </w:r>
          </w:p>
        </w:tc>
      </w:tr>
      <w:tr>
        <w:tc>
          <w:tcPr/>
          <w:p>
            <w:pPr>
              <w:pStyle w:val="Compact"/>
              <w:jc w:val="left"/>
            </w:pPr>
            <w:r>
              <w:t xml:space="preserve">Contract Signing &amp; Mobilization</w:t>
            </w:r>
          </w:p>
        </w:tc>
        <w:tc>
          <w:tcPr/>
          <w:p>
            <w:pPr>
              <w:pStyle w:val="Compact"/>
              <w:jc w:val="left"/>
            </w:pPr>
            <w:r>
              <w:t xml:space="preserve">30%</w:t>
            </w:r>
          </w:p>
        </w:tc>
        <w:tc>
          <w:tcPr/>
          <w:p>
            <w:pPr>
              <w:pStyle w:val="Compact"/>
              <w:jc w:val="left"/>
            </w:pPr>
            <w:r>
              <w:t xml:space="preserve">3,040,620</w:t>
            </w:r>
          </w:p>
        </w:tc>
        <w:tc>
          <w:tcPr/>
          <w:p>
            <w:pPr>
              <w:pStyle w:val="Compact"/>
              <w:jc w:val="left"/>
            </w:pPr>
            <w:r>
              <w:t xml:space="preserve">Within 7 days of PO</w:t>
            </w:r>
          </w:p>
        </w:tc>
      </w:tr>
      <w:tr>
        <w:tc>
          <w:tcPr/>
          <w:p>
            <w:pPr>
              <w:pStyle w:val="Compact"/>
              <w:jc w:val="left"/>
            </w:pPr>
            <w:r>
              <w:t xml:space="preserve">System Design &amp; PLC Programming Complete</w:t>
            </w:r>
          </w:p>
        </w:tc>
        <w:tc>
          <w:tcPr/>
          <w:p>
            <w:pPr>
              <w:pStyle w:val="Compact"/>
              <w:jc w:val="left"/>
            </w:pPr>
            <w:r>
              <w:t xml:space="preserve">30%</w:t>
            </w:r>
          </w:p>
        </w:tc>
        <w:tc>
          <w:tcPr/>
          <w:p>
            <w:pPr>
              <w:pStyle w:val="Compact"/>
              <w:jc w:val="left"/>
            </w:pPr>
            <w:r>
              <w:t xml:space="preserve">3,040,620</w:t>
            </w:r>
          </w:p>
        </w:tc>
        <w:tc>
          <w:tcPr/>
          <w:p>
            <w:pPr>
              <w:pStyle w:val="Compact"/>
              <w:jc w:val="left"/>
            </w:pPr>
            <w:r>
              <w:t xml:space="preserve">Day 40 of engagement</w:t>
            </w:r>
          </w:p>
        </w:tc>
      </w:tr>
      <w:tr>
        <w:tc>
          <w:tcPr/>
          <w:p>
            <w:pPr>
              <w:pStyle w:val="Compact"/>
              <w:jc w:val="left"/>
            </w:pPr>
            <w:r>
              <w:t xml:space="preserve">Robotics &amp; Sensor Integration Complete</w:t>
            </w:r>
          </w:p>
        </w:tc>
        <w:tc>
          <w:tcPr/>
          <w:p>
            <w:pPr>
              <w:pStyle w:val="Compact"/>
              <w:jc w:val="left"/>
            </w:pPr>
            <w:r>
              <w:t xml:space="preserve">25%</w:t>
            </w:r>
          </w:p>
        </w:tc>
        <w:tc>
          <w:tcPr/>
          <w:p>
            <w:pPr>
              <w:pStyle w:val="Compact"/>
              <w:jc w:val="left"/>
            </w:pPr>
            <w:r>
              <w:t xml:space="preserve">2,533,850</w:t>
            </w:r>
          </w:p>
        </w:tc>
        <w:tc>
          <w:tcPr/>
          <w:p>
            <w:pPr>
              <w:pStyle w:val="Compact"/>
              <w:jc w:val="left"/>
            </w:pPr>
            <w:r>
              <w:t xml:space="preserve">Day 70 of engagement</w:t>
            </w:r>
          </w:p>
        </w:tc>
      </w:tr>
      <w:tr>
        <w:tc>
          <w:tcPr/>
          <w:p>
            <w:pPr>
              <w:pStyle w:val="Compact"/>
              <w:jc w:val="left"/>
            </w:pPr>
            <w:r>
              <w:t xml:space="preserve">Final Handover, Training &amp; Documentation</w:t>
            </w:r>
          </w:p>
        </w:tc>
        <w:tc>
          <w:tcPr/>
          <w:p>
            <w:pPr>
              <w:pStyle w:val="Compact"/>
              <w:jc w:val="left"/>
            </w:pPr>
            <w:r>
              <w:t xml:space="preserve">15%</w:t>
            </w:r>
          </w:p>
        </w:tc>
        <w:tc>
          <w:tcPr/>
          <w:p>
            <w:pPr>
              <w:pStyle w:val="Compact"/>
              <w:jc w:val="left"/>
            </w:pPr>
            <w:r>
              <w:t xml:space="preserve">1,520,310</w:t>
            </w:r>
          </w:p>
        </w:tc>
        <w:tc>
          <w:tcPr/>
          <w:p>
            <w:pPr>
              <w:pStyle w:val="Compact"/>
              <w:jc w:val="left"/>
            </w:pPr>
            <w:r>
              <w:t xml:space="preserve">Day 82 (Project Close)</w:t>
            </w:r>
          </w:p>
        </w:tc>
      </w:tr>
    </w:tbl>
    <w:bookmarkEnd w:id="23"/>
    <w:bookmarkStart w:id="24"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expiry date, NVES reserves the right to revise pricing due to market fluctuations in</w:t>
      </w:r>
      <w:r>
        <w:t xml:space="preserve"> </w:t>
      </w:r>
      <w:r>
        <w:t xml:space="preserve">Sudan Khartoum</w:t>
      </w:r>
      <w:r>
        <w:t xml:space="preserve">.</w:t>
      </w:r>
    </w:p>
    <w:p>
      <w:pPr>
        <w:numPr>
          <w:ilvl w:val="0"/>
          <w:numId w:val="1001"/>
        </w:numPr>
        <w:pStyle w:val="Compact"/>
      </w:pPr>
      <w:r>
        <w:t xml:space="preserve">The</w:t>
      </w:r>
      <w:r>
        <w:t xml:space="preserve"> </w:t>
      </w:r>
      <w:r>
        <w:t xml:space="preserve">Mechatronics Engineer</w:t>
      </w:r>
      <w:r>
        <w:t xml:space="preserve"> </w:t>
      </w:r>
      <w:r>
        <w:t xml:space="preserve">assigned to this project holds a B.Sc. in Mechatronics Engineering from the University of Khartoum and possesses a minimum of twelve (12) years of professional experience in industrial automation within the Sudanese and East African markets.</w:t>
      </w:r>
    </w:p>
    <w:p>
      <w:pPr>
        <w:numPr>
          <w:ilvl w:val="0"/>
          <w:numId w:val="1001"/>
        </w:numPr>
        <w:pStyle w:val="Compact"/>
      </w:pPr>
      <w:r>
        <w:t xml:space="preserve">All work performed under this</w:t>
      </w:r>
      <w:r>
        <w:t xml:space="preserve"> </w:t>
      </w:r>
      <w:r>
        <w:t xml:space="preserve">Quotation Estimate</w:t>
      </w:r>
      <w:r>
        <w:t xml:space="preserve"> </w:t>
      </w:r>
      <w:r>
        <w:t xml:space="preserve">shall be carried out in strict compliance with the Sudanese Labour Act (2010) and occupational health and safety regulations applicable in</w:t>
      </w:r>
      <w:r>
        <w:t xml:space="preserve"> </w:t>
      </w:r>
      <w:r>
        <w:t xml:space="preserve">Sudan Khartoum</w:t>
      </w:r>
      <w:r>
        <w:t xml:space="preserve">.</w:t>
      </w:r>
    </w:p>
    <w:p>
      <w:pPr>
        <w:numPr>
          <w:ilvl w:val="0"/>
          <w:numId w:val="1001"/>
        </w:numPr>
        <w:pStyle w:val="Compact"/>
      </w:pPr>
      <w:r>
        <w:t xml:space="preserve">The client shall provide the</w:t>
      </w:r>
      <w:r>
        <w:t xml:space="preserve"> </w:t>
      </w:r>
      <w:r>
        <w:t xml:space="preserve">Mechatronics Engineer</w:t>
      </w:r>
      <w:r>
        <w:t xml:space="preserve"> </w:t>
      </w:r>
      <w:r>
        <w:t xml:space="preserve">with safe access to all relevant plant areas, existing technical documentation, and necessary utilities (power, compressed air, network) at the</w:t>
      </w:r>
      <w:r>
        <w:t xml:space="preserve"> </w:t>
      </w:r>
      <w:r>
        <w:t xml:space="preserve">Sudan Khartoum</w:t>
      </w:r>
      <w:r>
        <w:t xml:space="preserve"> </w:t>
      </w:r>
      <w:r>
        <w:t xml:space="preserve">project site.</w:t>
      </w:r>
    </w:p>
    <w:p>
      <w:pPr>
        <w:numPr>
          <w:ilvl w:val="0"/>
          <w:numId w:val="1001"/>
        </w:numPr>
        <w:pStyle w:val="Compact"/>
      </w:pPr>
      <w:r>
        <w:t xml:space="preserve">Intellectual property developed specifically for the client under this engagement shall transfer to the client upon full payment. General methodologies, proprietary code libraries, and standard engineering practices remain the property of NVES.</w:t>
      </w:r>
    </w:p>
    <w:p>
      <w:pPr>
        <w:numPr>
          <w:ilvl w:val="0"/>
          <w:numId w:val="1001"/>
        </w:numPr>
        <w:pStyle w:val="Compact"/>
      </w:pPr>
      <w:r>
        <w:t xml:space="preserve">Any change in scope beyond the parameters defined in this</w:t>
      </w:r>
      <w:r>
        <w:t xml:space="preserve"> </w:t>
      </w:r>
      <w:r>
        <w:t xml:space="preserve">Quotation Estimate</w:t>
      </w:r>
      <w:r>
        <w:t xml:space="preserve"> </w:t>
      </w:r>
      <w:r>
        <w:t xml:space="preserve">must be approved in writing by both parties before additional work commences. A revised</w:t>
      </w:r>
      <w:r>
        <w:t xml:space="preserve"> </w:t>
      </w:r>
      <w:r>
        <w:t xml:space="preserve">Quotation Estimate</w:t>
      </w:r>
      <w:r>
        <w:t xml:space="preserve"> </w:t>
      </w:r>
      <w:r>
        <w:t xml:space="preserve">supplement will be issued for such changes.</w:t>
      </w:r>
    </w:p>
    <w:p>
      <w:pPr>
        <w:numPr>
          <w:ilvl w:val="0"/>
          <w:numId w:val="1001"/>
        </w:numPr>
        <w:pStyle w:val="Compact"/>
      </w:pPr>
      <w:r>
        <w:t xml:space="preserve">Disputes arising from this agreement shall be resolved through arbitration in</w:t>
      </w:r>
      <w:r>
        <w:t xml:space="preserve"> </w:t>
      </w:r>
      <w:r>
        <w:t xml:space="preserve">Sudan Khartoum</w:t>
      </w:r>
      <w:r>
        <w:t xml:space="preserve"> </w:t>
      </w:r>
      <w:r>
        <w:t xml:space="preserve">in accordance with the Sudanese Arbitration Act (2005).</w:t>
      </w:r>
    </w:p>
    <w:p>
      <w:pPr>
        <w:numPr>
          <w:ilvl w:val="0"/>
          <w:numId w:val="1001"/>
        </w:numPr>
        <w:pStyle w:val="Compact"/>
      </w:pPr>
      <w:r>
        <w:t xml:space="preserve">Force majeure events, including but not limited to civil unrest, natural disasters, or government-imposed restrictions in</w:t>
      </w:r>
      <w:r>
        <w:t xml:space="preserve"> </w:t>
      </w:r>
      <w:r>
        <w:t xml:space="preserve">Sudan Khartoum</w:t>
      </w:r>
      <w:r>
        <w:t xml:space="preserve">, shall suspend obligations under this contract without penalty to either party.</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Mechatronics Engineer</w:t>
      </w:r>
      <w:r>
        <w:t xml:space="preserve"> </w:t>
      </w:r>
      <w:r>
        <w:t xml:space="preserve">at the designated facility in</w:t>
      </w:r>
      <w:r>
        <w:t xml:space="preserve"> </w:t>
      </w:r>
      <w:r>
        <w:t xml:space="preserve">Sudan Khartoum</w:t>
      </w:r>
      <w:r>
        <w:t xml:space="preserve">.</w:t>
      </w:r>
    </w:p>
    <w:p>
      <w:pPr>
        <w:pStyle w:val="BodyText"/>
      </w:pPr>
      <w:r>
        <w:rPr>
          <w:bCs/>
          <w:b/>
        </w:rPr>
        <w:t xml:space="preserve">For and on behalf of NVES:</w:t>
      </w:r>
    </w:p>
    <w:p>
      <w:pPr>
        <w:pStyle w:val="BodyText"/>
      </w:pPr>
      <w:r>
        <w:t xml:space="preserve">Eng. Salma Ibrahim Hassan</w:t>
      </w:r>
      <w:r>
        <w:br/>
      </w:r>
      <w:r>
        <w:t xml:space="preserve">Chief Engineer &amp; Managing Director</w:t>
      </w:r>
      <w:r>
        <w:br/>
      </w:r>
      <w:r>
        <w:t xml:space="preserve">Nile Valley Engineering &amp; Automation Solutions</w:t>
      </w:r>
      <w:r>
        <w:br/>
      </w:r>
      <w:r>
        <w:t xml:space="preserve">Date: _______________</w:t>
      </w:r>
    </w:p>
    <w:p>
      <w:pPr>
        <w:pStyle w:val="BodyText"/>
      </w:pPr>
      <w:r>
        <w:rPr>
          <w:bCs/>
          <w:b/>
        </w:rPr>
        <w:t xml:space="preserve">For and on behalf of the Client:</w:t>
      </w:r>
    </w:p>
    <w:p>
      <w:pPr>
        <w:pStyle w:val="BodyText"/>
      </w:pPr>
      <w:r>
        <w:t xml:space="preserve">Eng. Ahmed El-Tahir</w:t>
      </w:r>
      <w:r>
        <w:br/>
      </w:r>
      <w:r>
        <w:t xml:space="preserve">Procurement Director</w:t>
      </w:r>
      <w:r>
        <w:br/>
      </w:r>
      <w:r>
        <w:t xml:space="preserve">Sudan Industrial Development Authority</w:t>
      </w:r>
      <w:r>
        <w:br/>
      </w:r>
      <w:r>
        <w:t xml:space="preserve">Date: _______________</w:t>
      </w:r>
    </w:p>
    <w:p>
      <w:pPr>
        <w:pStyle w:val="BodyText"/>
      </w:pPr>
      <w:r>
        <w:t xml:space="preserve">This</w:t>
      </w:r>
      <w:r>
        <w:t xml:space="preserve"> </w:t>
      </w:r>
      <w:r>
        <w:t xml:space="preserve">Quotation Estimate</w:t>
      </w:r>
      <w:r>
        <w:t xml:space="preserve"> </w:t>
      </w:r>
      <w:r>
        <w:t xml:space="preserve">(Ref: NVES/QE/2025/0347) was prepared exclusively for the Sudan Industrial Development Authority for the</w:t>
      </w:r>
      <w:r>
        <w:t xml:space="preserve"> </w:t>
      </w:r>
      <w:r>
        <w:t xml:space="preserve">Mechatronics Engineer</w:t>
      </w:r>
      <w:r>
        <w:t xml:space="preserve"> </w:t>
      </w:r>
      <w:r>
        <w:t xml:space="preserve">services project in</w:t>
      </w:r>
      <w:r>
        <w:t xml:space="preserve"> </w:t>
      </w:r>
      <w:r>
        <w:t xml:space="preserve">Sudan Khartoum</w:t>
      </w:r>
      <w:r>
        <w:t xml:space="preserve">. Unauthorized reproduction or distribution is prohibited. © 2025 Nile Valley Engineering &amp; Automation Solutions.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Mechatronics Engineer Services - Sudan Khartoum</dc:title>
  <dc:creator/>
  <dc:language>en</dc:language>
  <cp:keywords/>
  <dcterms:created xsi:type="dcterms:W3CDTF">2026-10-10T02:09:54Z</dcterms:created>
  <dcterms:modified xsi:type="dcterms:W3CDTF">2026-10-10T02:09:54Z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