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quotation-estimate"/>
    <w:p>
      <w:pPr>
        <w:pStyle w:val="Heading1"/>
      </w:pPr>
      <w:r>
        <w:t xml:space="preserve">Quotation Estimate</w:t>
      </w:r>
    </w:p>
    <w:p>
      <w:pPr>
        <w:pStyle w:val="FirstParagraph"/>
      </w:pPr>
      <w:r>
        <w:rPr>
          <w:bCs/>
          <w:b/>
        </w:rPr>
        <w:t xml:space="preserve">Advanced Mechatronics Solutions LLC</w:t>
      </w:r>
    </w:p>
    <w:p>
      <w:pPr>
        <w:pStyle w:val="BodyText"/>
      </w:pPr>
      <w:r>
        <w:t xml:space="preserve">Office 1204, Level 12, Dubai Internet City, United Arab Emirates Dubai</w:t>
      </w:r>
    </w:p>
    <w:p>
      <w:pPr>
        <w:pStyle w:val="BodyText"/>
      </w:pPr>
      <w:r>
        <w:t xml:space="preserve">Tel: +971 4 555 0198 | Email: quotations@advancedmechatronics.ae</w:t>
      </w:r>
    </w:p>
    <w:p>
      <w:pPr>
        <w:pStyle w:val="BodyText"/>
      </w:pPr>
      <w:r>
        <w:t xml:space="preserve">Trade License No: 1048293 | VAT No: 100234567000003</w:t>
      </w:r>
    </w:p>
    <w:bookmarkEnd w:id="20"/>
    <w:p>
      <w:pPr>
        <w:pStyle w:val="BodyText"/>
      </w:pPr>
      <w:r>
        <w:rPr>
          <w:bCs/>
          <w:b/>
        </w:rPr>
        <w:t xml:space="preserve">Quotation No:</w:t>
      </w:r>
      <w:r>
        <w:t xml:space="preserve"> </w:t>
      </w:r>
      <w:r>
        <w:t xml:space="preserve">QTE-2025-04782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Project Location:</w:t>
      </w:r>
      <w:r>
        <w:t xml:space="preserve"> </w:t>
      </w:r>
      <w:r>
        <w:t xml:space="preserve">United Arab Emirates Dubai</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Gulf Industrial Automation FZE</w:t>
            </w:r>
          </w:p>
        </w:tc>
        <w:tc>
          <w:tcPr/>
          <w:p>
            <w:pPr>
              <w:pStyle w:val="Compact"/>
              <w:jc w:val="left"/>
            </w:pPr>
            <w:r>
              <w:rPr>
                <w:bCs/>
                <w:b/>
              </w:rPr>
              <w:t xml:space="preserve">Contact Person:</w:t>
            </w:r>
            <w:r>
              <w:t xml:space="preserve"> </w:t>
            </w:r>
            <w:r>
              <w:t xml:space="preserve">Mr. Khalid Al Mansoori</w:t>
            </w:r>
          </w:p>
        </w:tc>
      </w:tr>
      <w:tr>
        <w:tc>
          <w:tcPr/>
          <w:p>
            <w:pPr>
              <w:pStyle w:val="Compact"/>
              <w:jc w:val="left"/>
            </w:pPr>
            <w:r>
              <w:rPr>
                <w:bCs/>
                <w:b/>
              </w:rPr>
              <w:t xml:space="preserve">Address:</w:t>
            </w:r>
            <w:r>
              <w:t xml:space="preserve"> </w:t>
            </w:r>
            <w:r>
              <w:t xml:space="preserve">Plot 47, Jebel Ali Free Zone, United Arab Emirates Dubai</w:t>
            </w:r>
          </w:p>
        </w:tc>
        <w:tc>
          <w:tcPr/>
          <w:p>
            <w:pPr>
              <w:pStyle w:val="Compact"/>
              <w:jc w:val="left"/>
            </w:pPr>
            <w:r>
              <w:rPr>
                <w:bCs/>
                <w:b/>
              </w:rPr>
              <w:t xml:space="preserve">Phone:</w:t>
            </w:r>
            <w:r>
              <w:t xml:space="preserve"> </w:t>
            </w:r>
            <w:r>
              <w:t xml:space="preserve">+971 50 774 2210</w:t>
            </w:r>
          </w:p>
        </w:tc>
      </w:tr>
      <w:tr>
        <w:tc>
          <w:tcPr/>
          <w:p>
            <w:pPr>
              <w:pStyle w:val="Compact"/>
              <w:jc w:val="left"/>
            </w:pPr>
            <w:r>
              <w:rPr>
                <w:bCs/>
                <w:b/>
              </w:rPr>
              <w:t xml:space="preserve">Email:</w:t>
            </w:r>
            <w:r>
              <w:t xml:space="preserve"> </w:t>
            </w:r>
            <w:r>
              <w:t xml:space="preserve">k.mansoori@gulfindustrial.ae</w:t>
            </w:r>
          </w:p>
        </w:tc>
        <w:tc>
          <w:tcPr/>
          <w:p>
            <w:pPr>
              <w:pStyle w:val="Compact"/>
              <w:jc w:val="left"/>
            </w:pPr>
            <w:r>
              <w:rPr>
                <w:bCs/>
                <w:b/>
              </w:rPr>
              <w:t xml:space="preserve">VAT No:</w:t>
            </w:r>
            <w:r>
              <w:t xml:space="preserve"> </w:t>
            </w:r>
            <w:r>
              <w:t xml:space="preserve">100987654000005</w:t>
            </w:r>
          </w:p>
        </w:tc>
      </w:tr>
    </w:tbl>
    <w:bookmarkEnd w:id="21"/>
    <w:bookmarkStart w:id="22" w:name="Xbd1e2d33486c37068aa6134a884d697173a8f36"/>
    <w:p>
      <w:pPr>
        <w:pStyle w:val="Heading2"/>
      </w:pPr>
      <w:r>
        <w:t xml:space="preserve">2. Scope of Work – Mechatronics Engineer Services</w:t>
      </w:r>
    </w:p>
    <w:p>
      <w:pPr>
        <w:pStyle w:val="FirstParagraph"/>
      </w:pPr>
      <w:r>
        <w:t xml:space="preserve">This</w:t>
      </w:r>
      <w:r>
        <w:t xml:space="preserve"> </w:t>
      </w:r>
      <w:r>
        <w:t xml:space="preserve">Quotation Estimate</w:t>
      </w:r>
      <w:r>
        <w:t xml:space="preserve"> </w:t>
      </w:r>
      <w:r>
        <w:t xml:space="preserve">is issued by Advanced Mechatronics Solutions LLC to provide comprehensive professional services rendered by a certified</w:t>
      </w:r>
      <w:r>
        <w:t xml:space="preserve"> </w:t>
      </w:r>
      <w:r>
        <w:t xml:space="preserve">Mechatronics Engineer</w:t>
      </w:r>
      <w:r>
        <w:t xml:space="preserve"> </w:t>
      </w:r>
      <w:r>
        <w:t xml:space="preserve">for the design, integration, commissioning, and maintenance of automated production systems at the client's facility located in</w:t>
      </w:r>
      <w:r>
        <w:t xml:space="preserve"> </w:t>
      </w:r>
      <w:r>
        <w:t xml:space="preserve">United Arab Emirates Dubai</w:t>
      </w:r>
      <w:r>
        <w:t xml:space="preserve">. The scope encompasses the full lifecycle of mechatronic systems including mechanical design, electrical control, embedded software programming, and robotic integration.</w:t>
      </w:r>
    </w:p>
    <w:p>
      <w:pPr>
        <w:pStyle w:val="BodyText"/>
      </w:pPr>
      <w:r>
        <w:t xml:space="preserve">The assigned</w:t>
      </w:r>
      <w:r>
        <w:t xml:space="preserve"> </w:t>
      </w:r>
      <w:r>
        <w:t xml:space="preserve">Mechatronics Engineer</w:t>
      </w:r>
      <w:r>
        <w:t xml:space="preserve"> </w:t>
      </w:r>
      <w:r>
        <w:t xml:space="preserve">holds a Bachelor's degree in Mechatronics Engineering from Khalifa University, a Professional Engineer (PE) license issued by the Dubai Municipality, and over twelve (12) years of hands-on experience in industrial automation projects across the United Arab Emirates. The engineer is fully qualified to operate in compliance with all local regulations, safety standards, and industry codes applicable in United Arab Emirates Dubai.</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(AED)</w:t>
            </w:r>
          </w:p>
        </w:tc>
        <w:tc>
          <w:tcPr/>
          <w:p>
            <w:pPr>
              <w:pStyle w:val="Compact"/>
              <w:jc w:val="left"/>
            </w:pPr>
            <w:r>
              <w:t xml:space="preserve">Amount (AED)</w:t>
            </w:r>
          </w:p>
        </w:tc>
      </w:tr>
      <w:tr>
        <w:tc>
          <w:tcPr/>
          <w:p>
            <w:pPr>
              <w:pStyle w:val="Compact"/>
              <w:jc w:val="left"/>
            </w:pPr>
            <w:r>
              <w:t xml:space="preserve">01</w:t>
            </w:r>
          </w:p>
        </w:tc>
        <w:tc>
          <w:tcPr/>
          <w:p>
            <w:pPr>
              <w:pStyle w:val="Compact"/>
              <w:jc w:val="left"/>
            </w:pPr>
            <w:r>
              <w:t xml:space="preserve">Site assessment and feasibility study for automated assembly line – Mechatronics Engineer on-site consultation in United Arab Emirates Dubai</w:t>
            </w:r>
          </w:p>
        </w:tc>
        <w:tc>
          <w:tcPr/>
          <w:p>
            <w:pPr>
              <w:pStyle w:val="Compact"/>
              <w:jc w:val="left"/>
            </w:pPr>
            <w:r>
              <w:t xml:space="preserve">3 days</w:t>
            </w:r>
          </w:p>
        </w:tc>
        <w:tc>
          <w:tcPr/>
          <w:p>
            <w:pPr>
              <w:pStyle w:val="Compact"/>
              <w:jc w:val="left"/>
            </w:pPr>
            <w:r>
              <w:t xml:space="preserve">3,500</w:t>
            </w:r>
          </w:p>
        </w:tc>
        <w:tc>
          <w:tcPr/>
          <w:p>
            <w:pPr>
              <w:pStyle w:val="Compact"/>
              <w:jc w:val="left"/>
            </w:pPr>
            <w:r>
              <w:t xml:space="preserve">10,500</w:t>
            </w:r>
          </w:p>
        </w:tc>
      </w:tr>
      <w:tr>
        <w:tc>
          <w:tcPr/>
          <w:p>
            <w:pPr>
              <w:pStyle w:val="Compact"/>
              <w:jc w:val="left"/>
            </w:pPr>
            <w:r>
              <w:t xml:space="preserve">02</w:t>
            </w:r>
          </w:p>
        </w:tc>
        <w:tc>
          <w:tcPr/>
          <w:p>
            <w:pPr>
              <w:pStyle w:val="Compact"/>
              <w:jc w:val="left"/>
            </w:pPr>
            <w:r>
              <w:t xml:space="preserve">System design and engineering documentation (P&amp;ID, electrical schematics, PLC logic, HMI design) by senior Mechatronics Engineer</w:t>
            </w:r>
          </w:p>
        </w:tc>
        <w:tc>
          <w:tcPr/>
          <w:p>
            <w:pPr>
              <w:pStyle w:val="Compact"/>
              <w:jc w:val="left"/>
            </w:pPr>
            <w:r>
              <w:t xml:space="preserve">20 days</w:t>
            </w:r>
          </w:p>
        </w:tc>
        <w:tc>
          <w:tcPr/>
          <w:p>
            <w:pPr>
              <w:pStyle w:val="Compact"/>
              <w:jc w:val="left"/>
            </w:pPr>
            <w:r>
              <w:t xml:space="preserve">2,800</w:t>
            </w:r>
          </w:p>
        </w:tc>
        <w:tc>
          <w:tcPr/>
          <w:p>
            <w:pPr>
              <w:pStyle w:val="Compact"/>
              <w:jc w:val="left"/>
            </w:pPr>
            <w:r>
              <w:t xml:space="preserve">56,000</w:t>
            </w:r>
          </w:p>
        </w:tc>
      </w:tr>
      <w:tr>
        <w:tc>
          <w:tcPr/>
          <w:p>
            <w:pPr>
              <w:pStyle w:val="Compact"/>
              <w:jc w:val="left"/>
            </w:pPr>
            <w:r>
              <w:t xml:space="preserve">03</w:t>
            </w:r>
          </w:p>
        </w:tc>
        <w:tc>
          <w:tcPr/>
          <w:p>
            <w:pPr>
              <w:pStyle w:val="Compact"/>
              <w:jc w:val="left"/>
            </w:pPr>
            <w:r>
              <w:t xml:space="preserve">PLC programming, SCADA configuration, and embedded firmware development for robotic cells</w:t>
            </w:r>
          </w:p>
        </w:tc>
        <w:tc>
          <w:tcPr/>
          <w:p>
            <w:pPr>
              <w:pStyle w:val="Compact"/>
              <w:jc w:val="left"/>
            </w:pPr>
            <w:r>
              <w:t xml:space="preserve">25 days</w:t>
            </w:r>
          </w:p>
        </w:tc>
        <w:tc>
          <w:tcPr/>
          <w:p>
            <w:pPr>
              <w:pStyle w:val="Compact"/>
              <w:jc w:val="left"/>
            </w:pPr>
            <w:r>
              <w:t xml:space="preserve">3,200</w:t>
            </w:r>
          </w:p>
        </w:tc>
        <w:tc>
          <w:tcPr/>
          <w:p>
            <w:pPr>
              <w:pStyle w:val="Compact"/>
              <w:jc w:val="left"/>
            </w:pPr>
            <w:r>
              <w:t xml:space="preserve">80,000</w:t>
            </w:r>
          </w:p>
        </w:tc>
      </w:tr>
      <w:tr>
        <w:tc>
          <w:tcPr/>
          <w:p>
            <w:pPr>
              <w:pStyle w:val="Compact"/>
              <w:jc w:val="left"/>
            </w:pPr>
            <w:r>
              <w:t xml:space="preserve">04</w:t>
            </w:r>
          </w:p>
        </w:tc>
        <w:tc>
          <w:tcPr/>
          <w:p>
            <w:pPr>
              <w:pStyle w:val="Compact"/>
              <w:jc w:val="left"/>
            </w:pPr>
            <w:r>
              <w:t xml:space="preserve">Mechanical component fabrication supervision and precision alignment of actuators, conveyors, and end-effectors</w:t>
            </w:r>
          </w:p>
        </w:tc>
        <w:tc>
          <w:tcPr/>
          <w:p>
            <w:pPr>
              <w:pStyle w:val="Compact"/>
              <w:jc w:val="left"/>
            </w:pPr>
            <w:r>
              <w:t xml:space="preserve">15 days</w:t>
            </w:r>
          </w:p>
        </w:tc>
        <w:tc>
          <w:tcPr/>
          <w:p>
            <w:pPr>
              <w:pStyle w:val="Compact"/>
              <w:jc w:val="left"/>
            </w:pPr>
            <w:r>
              <w:t xml:space="preserve">2,500</w:t>
            </w:r>
          </w:p>
        </w:tc>
        <w:tc>
          <w:tcPr/>
          <w:p>
            <w:pPr>
              <w:pStyle w:val="Compact"/>
              <w:jc w:val="left"/>
            </w:pPr>
            <w:r>
              <w:t xml:space="preserve">37,500</w:t>
            </w:r>
          </w:p>
        </w:tc>
      </w:tr>
      <w:tr>
        <w:tc>
          <w:tcPr/>
          <w:p>
            <w:pPr>
              <w:pStyle w:val="Compact"/>
              <w:jc w:val="left"/>
            </w:pPr>
            <w:r>
              <w:t xml:space="preserve">05</w:t>
            </w:r>
          </w:p>
        </w:tc>
        <w:tc>
          <w:tcPr/>
          <w:p>
            <w:pPr>
              <w:pStyle w:val="Compact"/>
              <w:jc w:val="left"/>
            </w:pPr>
            <w:r>
              <w:t xml:space="preserve">Electrical panel assembly, wiring, and safety interlock installation per UAE ESMA standards</w:t>
            </w:r>
          </w:p>
        </w:tc>
        <w:tc>
          <w:tcPr/>
          <w:p>
            <w:pPr>
              <w:pStyle w:val="Compact"/>
              <w:jc w:val="left"/>
            </w:pPr>
            <w:r>
              <w:t xml:space="preserve">12 days</w:t>
            </w:r>
          </w:p>
        </w:tc>
        <w:tc>
          <w:tcPr/>
          <w:p>
            <w:pPr>
              <w:pStyle w:val="Compact"/>
              <w:jc w:val="left"/>
            </w:pPr>
            <w:r>
              <w:t xml:space="preserve">2,700</w:t>
            </w:r>
          </w:p>
        </w:tc>
        <w:tc>
          <w:tcPr/>
          <w:p>
            <w:pPr>
              <w:pStyle w:val="Compact"/>
              <w:jc w:val="left"/>
            </w:pPr>
            <w:r>
              <w:t xml:space="preserve">32,400</w:t>
            </w:r>
          </w:p>
        </w:tc>
      </w:tr>
      <w:tr>
        <w:tc>
          <w:tcPr/>
          <w:p>
            <w:pPr>
              <w:pStyle w:val="Compact"/>
              <w:jc w:val="left"/>
            </w:pPr>
            <w:r>
              <w:t xml:space="preserve">06</w:t>
            </w:r>
          </w:p>
        </w:tc>
        <w:tc>
          <w:tcPr/>
          <w:p>
            <w:pPr>
              <w:pStyle w:val="Compact"/>
              <w:jc w:val="left"/>
            </w:pPr>
            <w:r>
              <w:t xml:space="preserve">System integration, commissioning, and factory acceptance testing (FAT) in United Arab Emirates Dubai</w:t>
            </w:r>
          </w:p>
        </w:tc>
        <w:tc>
          <w:tcPr/>
          <w:p>
            <w:pPr>
              <w:pStyle w:val="Compact"/>
              <w:jc w:val="left"/>
            </w:pPr>
            <w:r>
              <w:t xml:space="preserve">10 days</w:t>
            </w:r>
          </w:p>
        </w:tc>
        <w:tc>
          <w:tcPr/>
          <w:p>
            <w:pPr>
              <w:pStyle w:val="Compact"/>
              <w:jc w:val="left"/>
            </w:pPr>
            <w:r>
              <w:t xml:space="preserve">3,800</w:t>
            </w:r>
          </w:p>
        </w:tc>
        <w:tc>
          <w:tcPr/>
          <w:p>
            <w:pPr>
              <w:pStyle w:val="Compact"/>
              <w:jc w:val="left"/>
            </w:pPr>
            <w:r>
              <w:t xml:space="preserve">38,000</w:t>
            </w:r>
          </w:p>
        </w:tc>
      </w:tr>
      <w:tr>
        <w:tc>
          <w:tcPr/>
          <w:p>
            <w:pPr>
              <w:pStyle w:val="Compact"/>
              <w:jc w:val="left"/>
            </w:pPr>
            <w:r>
              <w:t xml:space="preserve">07</w:t>
            </w:r>
          </w:p>
        </w:tc>
        <w:tc>
          <w:tcPr/>
          <w:p>
            <w:pPr>
              <w:pStyle w:val="Compact"/>
              <w:jc w:val="left"/>
            </w:pPr>
            <w:r>
              <w:t xml:space="preserve">Site acceptance testing (SAT), operator training (4 sessions), and handover documentation</w:t>
            </w:r>
          </w:p>
        </w:tc>
        <w:tc>
          <w:tcPr/>
          <w:p>
            <w:pPr>
              <w:pStyle w:val="Compact"/>
              <w:jc w:val="left"/>
            </w:pPr>
            <w:r>
              <w:t xml:space="preserve">5 days</w:t>
            </w:r>
          </w:p>
        </w:tc>
        <w:tc>
          <w:tcPr/>
          <w:p>
            <w:pPr>
              <w:pStyle w:val="Compact"/>
              <w:jc w:val="left"/>
            </w:pPr>
            <w:r>
              <w:t xml:space="preserve">3,000</w:t>
            </w:r>
          </w:p>
        </w:tc>
        <w:tc>
          <w:tcPr/>
          <w:p>
            <w:pPr>
              <w:pStyle w:val="Compact"/>
              <w:jc w:val="left"/>
            </w:pPr>
            <w:r>
              <w:t xml:space="preserve">15,000</w:t>
            </w:r>
          </w:p>
        </w:tc>
      </w:tr>
      <w:tr>
        <w:tc>
          <w:tcPr/>
          <w:p>
            <w:pPr>
              <w:pStyle w:val="Compact"/>
              <w:jc w:val="left"/>
            </w:pPr>
            <w:r>
              <w:t xml:space="preserve">08</w:t>
            </w:r>
          </w:p>
        </w:tc>
        <w:tc>
          <w:tcPr/>
          <w:p>
            <w:pPr>
              <w:pStyle w:val="Compact"/>
              <w:jc w:val="left"/>
            </w:pPr>
            <w:r>
              <w:t xml:space="preserve">Post-commissioning warranty support and preventive maintenance plan (12 months) – Mechatronics Engineer on-call</w:t>
            </w:r>
          </w:p>
        </w:tc>
        <w:tc>
          <w:tcPr/>
          <w:p>
            <w:pPr>
              <w:pStyle w:val="Compact"/>
              <w:jc w:val="left"/>
            </w:pPr>
            <w:r>
              <w:t xml:space="preserve">12 months</w:t>
            </w:r>
          </w:p>
        </w:tc>
        <w:tc>
          <w:tcPr/>
          <w:p>
            <w:pPr>
              <w:pStyle w:val="Compact"/>
              <w:jc w:val="left"/>
            </w:pPr>
            <w:r>
              <w:t xml:space="preserve">1,200/mo</w:t>
            </w:r>
          </w:p>
        </w:tc>
        <w:tc>
          <w:tcPr/>
          <w:p>
            <w:pPr>
              <w:pStyle w:val="Compact"/>
              <w:jc w:val="left"/>
            </w:pPr>
            <w:r>
              <w:t xml:space="preserve">14,400</w:t>
            </w:r>
          </w:p>
        </w:tc>
      </w:tr>
      <w:tr>
        <w:tc>
          <w:tcPr/>
          <w:p>
            <w:pPr>
              <w:pStyle w:val="Compact"/>
              <w:jc w:val="left"/>
            </w:pPr>
            <w:r>
              <w:t xml:space="preserve">09</w:t>
            </w:r>
          </w:p>
        </w:tc>
        <w:tc>
          <w:tcPr/>
          <w:p>
            <w:pPr>
              <w:pStyle w:val="Compact"/>
              <w:jc w:val="left"/>
            </w:pPr>
            <w:r>
              <w:t xml:space="preserve">Travel, accommodation, and local transportation within United Arab Emirates Dubai for the Mechatronics Engineer team</w:t>
            </w:r>
          </w:p>
        </w:tc>
        <w:tc>
          <w:tcPr/>
          <w:p>
            <w:pPr>
              <w:pStyle w:val="Compact"/>
              <w:jc w:val="left"/>
            </w:pPr>
            <w:r>
              <w:t xml:space="preserve">107 days</w:t>
            </w:r>
          </w:p>
        </w:tc>
        <w:tc>
          <w:tcPr/>
          <w:p>
            <w:pPr>
              <w:pStyle w:val="Compact"/>
              <w:jc w:val="left"/>
            </w:pPr>
            <w:r>
              <w:t xml:space="preserve">450</w:t>
            </w:r>
          </w:p>
        </w:tc>
        <w:tc>
          <w:tcPr/>
          <w:p>
            <w:pPr>
              <w:pStyle w:val="Compact"/>
              <w:jc w:val="left"/>
            </w:pPr>
            <w:r>
              <w:t xml:space="preserve">48,150</w:t>
            </w:r>
          </w:p>
        </w:tc>
      </w:tr>
      <w:tr>
        <w:tc>
          <w:tcPr/>
          <w:p>
            <w:pPr>
              <w:pStyle w:val="Compact"/>
              <w:jc w:val="left"/>
            </w:pPr>
            <w:r>
              <w:t xml:space="preserve">10</w:t>
            </w:r>
          </w:p>
        </w:tc>
        <w:tc>
          <w:tcPr/>
          <w:p>
            <w:pPr>
              <w:pStyle w:val="Compact"/>
              <w:jc w:val="left"/>
            </w:pPr>
            <w:r>
              <w:t xml:space="preserve">Project management, progress reporting, and client liaison coordination</w:t>
            </w:r>
          </w:p>
        </w:tc>
        <w:tc>
          <w:tcPr/>
          <w:p>
            <w:pPr>
              <w:pStyle w:val="Compact"/>
              <w:jc w:val="left"/>
            </w:pPr>
            <w:r>
              <w:t xml:space="preserve">107 days</w:t>
            </w:r>
          </w:p>
        </w:tc>
        <w:tc>
          <w:tcPr/>
          <w:p>
            <w:pPr>
              <w:pStyle w:val="Compact"/>
              <w:jc w:val="left"/>
            </w:pPr>
            <w:r>
              <w:t xml:space="preserve">800</w:t>
            </w:r>
          </w:p>
        </w:tc>
        <w:tc>
          <w:tcPr/>
          <w:p>
            <w:pPr>
              <w:pStyle w:val="Compact"/>
              <w:jc w:val="left"/>
            </w:pPr>
            <w:r>
              <w:t xml:space="preserve">85,600</w:t>
            </w:r>
          </w:p>
        </w:tc>
      </w:tr>
      <w:tr>
        <w:tc>
          <w:tcPr>
            <w:gridSpan w:val="4"/>
          </w:tcPr>
          <w:p>
            <w:pPr>
              <w:pStyle w:val="Compact"/>
              <w:jc w:val="left"/>
            </w:pPr>
            <w:r>
              <w:t xml:space="preserve">Subtotal</w:t>
            </w:r>
          </w:p>
        </w:tc>
        <w:tc>
          <w:tcPr/>
          <w:p>
            <w:pPr>
              <w:pStyle w:val="Compact"/>
              <w:jc w:val="left"/>
            </w:pPr>
            <w:r>
              <w:t xml:space="preserve">417,550</w:t>
            </w:r>
          </w:p>
        </w:tc>
      </w:tr>
      <w:tr>
        <w:tc>
          <w:tcPr>
            <w:gridSpan w:val="4"/>
          </w:tcPr>
          <w:p>
            <w:pPr>
              <w:pStyle w:val="Compact"/>
              <w:jc w:val="left"/>
            </w:pPr>
            <w:r>
              <w:t xml:space="preserve">VAT @ 5% (United Arab Emirates Dubai)</w:t>
            </w:r>
          </w:p>
        </w:tc>
        <w:tc>
          <w:tcPr/>
          <w:p>
            <w:pPr>
              <w:pStyle w:val="Compact"/>
              <w:jc w:val="left"/>
            </w:pPr>
            <w:r>
              <w:t xml:space="preserve">20,877.50</w:t>
            </w:r>
          </w:p>
        </w:tc>
      </w:tr>
      <w:tr>
        <w:tc>
          <w:tcPr>
            <w:gridSpan w:val="4"/>
          </w:tcPr>
          <w:p>
            <w:pPr>
              <w:pStyle w:val="Compact"/>
              <w:jc w:val="left"/>
            </w:pPr>
            <w:r>
              <w:rPr>
                <w:bCs/>
                <w:b/>
              </w:rPr>
              <w:t xml:space="preserve">TOTAL AMOUNT (AED)</w:t>
            </w:r>
          </w:p>
        </w:tc>
        <w:tc>
          <w:tcPr/>
          <w:p>
            <w:pPr>
              <w:pStyle w:val="Compact"/>
              <w:jc w:val="left"/>
            </w:pPr>
            <w:r>
              <w:rPr>
                <w:bCs/>
                <w:b/>
              </w:rPr>
              <w:t xml:space="preserve">438,427.50</w:t>
            </w:r>
          </w:p>
        </w:tc>
      </w:tr>
    </w:tbl>
    <w:p>
      <w:pPr>
        <w:pStyle w:val="BodyText"/>
      </w:pPr>
      <w:r>
        <w:rPr>
          <w:bCs/>
          <w:b/>
        </w:rPr>
        <w:t xml:space="preserve">Note:</w:t>
      </w:r>
      <w:r>
        <w:t xml:space="preserve"> </w:t>
      </w:r>
      <w:r>
        <w:t xml:space="preserve">This Quotation Estimate is valid for thirty (30) calendar days from the date of issue. All prices are quoted in United Arab Emirates Dirhams (AED). Any change in scope beyond 10% of the original work order will require a revised Quotation Estimate issued by the undersigned Mechatronics Engineer and approved in writing by the client.</w:t>
      </w:r>
    </w:p>
    <w:bookmarkEnd w:id="23"/>
    <w:bookmarkStart w:id="24" w:name="payment-terms"/>
    <w:p>
      <w:pPr>
        <w:pStyle w:val="Heading2"/>
      </w:pPr>
      <w:r>
        <w:t xml:space="preserve">4. Payment Terms</w:t>
      </w:r>
    </w:p>
    <w:p>
      <w:pPr>
        <w:numPr>
          <w:ilvl w:val="0"/>
          <w:numId w:val="1001"/>
        </w:numPr>
        <w:pStyle w:val="Compact"/>
      </w:pPr>
      <w:r>
        <w:rPr>
          <w:bCs/>
          <w:b/>
        </w:rPr>
        <w:t xml:space="preserve">Advance Payment:</w:t>
      </w:r>
      <w:r>
        <w:t xml:space="preserve"> </w:t>
      </w:r>
      <w:r>
        <w:t xml:space="preserve">30% of the total Quotation Estimate value (AED 131,528.25) due upon signed acceptance of this document.</w:t>
      </w:r>
    </w:p>
    <w:p>
      <w:pPr>
        <w:numPr>
          <w:ilvl w:val="0"/>
          <w:numId w:val="1001"/>
        </w:numPr>
        <w:pStyle w:val="Compact"/>
      </w:pPr>
      <w:r>
        <w:rPr>
          <w:bCs/>
          <w:b/>
        </w:rPr>
        <w:t xml:space="preserve">Progress Payment:</w:t>
      </w:r>
      <w:r>
        <w:t xml:space="preserve"> </w:t>
      </w:r>
      <w:r>
        <w:t xml:space="preserve">40% (AED 175,371.00) payable upon successful completion of Factory Acceptance Testing (FAT).</w:t>
      </w:r>
    </w:p>
    <w:p>
      <w:pPr>
        <w:numPr>
          <w:ilvl w:val="0"/>
          <w:numId w:val="1001"/>
        </w:numPr>
        <w:pStyle w:val="Compact"/>
      </w:pPr>
      <w:r>
        <w:rPr>
          <w:bCs/>
          <w:b/>
        </w:rPr>
        <w:t xml:space="preserve">Final Payment:</w:t>
      </w:r>
      <w:r>
        <w:t xml:space="preserve"> </w:t>
      </w:r>
      <w:r>
        <w:t xml:space="preserve">30% (AED 131,528.25) payable within fourteen (14) days of Site Acceptance Testing (SAT) sign-off and delivery of all as-built documentation.</w:t>
      </w:r>
    </w:p>
    <w:p>
      <w:pPr>
        <w:numPr>
          <w:ilvl w:val="0"/>
          <w:numId w:val="1001"/>
        </w:numPr>
        <w:pStyle w:val="Compact"/>
      </w:pPr>
      <w:r>
        <w:t xml:space="preserve">All payments shall be made via bank transfer to the company account in United Arab Emirates Dubai. Invoices are payable within thirty (30) days of receipt.</w:t>
      </w:r>
    </w:p>
    <w:bookmarkEnd w:id="24"/>
    <w:bookmarkStart w:id="25" w:name="terms-and-conditions"/>
    <w:p>
      <w:pPr>
        <w:pStyle w:val="Heading2"/>
      </w:pPr>
      <w:r>
        <w:t xml:space="preserve">5. Terms and Conditions</w:t>
      </w:r>
    </w:p>
    <w:p>
      <w:pPr>
        <w:numPr>
          <w:ilvl w:val="0"/>
          <w:numId w:val="1002"/>
        </w:numPr>
        <w:pStyle w:val="Compact"/>
      </w:pPr>
      <w:r>
        <w:t xml:space="preserve">This Quotation Estimate does not constitute a binding contract until countersigned by both parties and the advance payment is received.</w:t>
      </w:r>
    </w:p>
    <w:p>
      <w:pPr>
        <w:numPr>
          <w:ilvl w:val="0"/>
          <w:numId w:val="1002"/>
        </w:numPr>
        <w:pStyle w:val="Compact"/>
      </w:pPr>
      <w:r>
        <w:t xml:space="preserve">The Mechatronics Engineer shall comply with all occupational health and safety regulations enforced by the Dubai Municipality and the Ministry of Human Resources and Emiratisation.</w:t>
      </w:r>
    </w:p>
    <w:p>
      <w:pPr>
        <w:numPr>
          <w:ilvl w:val="0"/>
          <w:numId w:val="1002"/>
        </w:numPr>
        <w:pStyle w:val="Compact"/>
      </w:pPr>
      <w:r>
        <w:t xml:space="preserve">Intellectual property rights for all custom PLC code, HMI designs, and engineering drawings developed under this Quotation Estimate shall transfer to the client upon full payment.</w:t>
      </w:r>
    </w:p>
    <w:p>
      <w:pPr>
        <w:numPr>
          <w:ilvl w:val="0"/>
          <w:numId w:val="1002"/>
        </w:numPr>
        <w:pStyle w:val="Compact"/>
      </w:pPr>
      <w:r>
        <w:t xml:space="preserve">The warranty period of twelve (12) months commences from the date of SAT sign-off. The warranty covers defects in workmanship and design but excludes damage caused by misuse, unauthorized modification, or force majeure events.</w:t>
      </w:r>
    </w:p>
    <w:p>
      <w:pPr>
        <w:numPr>
          <w:ilvl w:val="0"/>
          <w:numId w:val="1002"/>
        </w:numPr>
        <w:pStyle w:val="Compact"/>
      </w:pPr>
      <w:r>
        <w:t xml:space="preserve">Any disputes arising from this Quotation Estimate shall be resolved through arbitration in accordance with the rules of the Dubai International Arbitration Centre (DIAC) in United Arab Emirates Dubai.</w:t>
      </w:r>
    </w:p>
    <w:p>
      <w:pPr>
        <w:numPr>
          <w:ilvl w:val="0"/>
          <w:numId w:val="1002"/>
        </w:numPr>
        <w:pStyle w:val="Compact"/>
      </w:pPr>
      <w:r>
        <w:t xml:space="preserve">This Quotation Estimate is governed by the laws of the United Arab Emirates and the specific regulations of the Emirate of Dubai.</w:t>
      </w:r>
    </w:p>
    <w:bookmarkEnd w:id="25"/>
    <w:bookmarkStart w:id="26" w:name="acceptance-and-authorization"/>
    <w:p>
      <w:pPr>
        <w:pStyle w:val="Heading2"/>
      </w:pPr>
      <w:r>
        <w:t xml:space="preserve">6. Acceptance and Authorization</w:t>
      </w:r>
    </w:p>
    <w:p>
      <w:pPr>
        <w:pStyle w:val="FirstParagraph"/>
      </w:pPr>
      <w:r>
        <w:rPr>
          <w:bCs/>
          <w:b/>
        </w:rPr>
        <w:t xml:space="preserve">For: Advanced Mechatronics Solutions LLC</w:t>
      </w:r>
    </w:p>
    <w:p>
      <w:pPr>
        <w:pStyle w:val="BodyText"/>
      </w:pPr>
      <w:r>
        <w:t xml:space="preserve">Eng. Sarah Al Farsi, P.Eng.</w:t>
      </w:r>
    </w:p>
    <w:p>
      <w:pPr>
        <w:pStyle w:val="BodyText"/>
      </w:pPr>
      <w:r>
        <w:t xml:space="preserve">Lead Mechatronics Engineer</w:t>
      </w:r>
    </w:p>
    <w:p>
      <w:pPr>
        <w:pStyle w:val="BodyText"/>
      </w:pPr>
      <w:r>
        <w:t xml:space="preserve">Date: _______________</w:t>
      </w:r>
    </w:p>
    <w:p>
      <w:pPr>
        <w:pStyle w:val="BodyText"/>
      </w:pPr>
      <w:r>
        <w:rPr>
          <w:bCs/>
          <w:b/>
        </w:rPr>
        <w:t xml:space="preserve">For: Gulf Industrial Automation FZE</w:t>
      </w:r>
    </w:p>
    <w:p>
      <w:pPr>
        <w:pStyle w:val="BodyText"/>
      </w:pPr>
      <w:r>
        <w:t xml:space="preserve">Mr. Khalid Al Mansoori</w:t>
      </w:r>
    </w:p>
    <w:p>
      <w:pPr>
        <w:pStyle w:val="BodyText"/>
      </w:pPr>
      <w:r>
        <w:t xml:space="preserve">Operations Director</w:t>
      </w:r>
    </w:p>
    <w:p>
      <w:pPr>
        <w:pStyle w:val="BodyText"/>
      </w:pPr>
      <w:r>
        <w:t xml:space="preserve">Date: _______________</w:t>
      </w:r>
    </w:p>
    <w:p>
      <w:pPr>
        <w:pStyle w:val="BodyText"/>
      </w:pPr>
      <w:r>
        <w:t xml:space="preserve">This Quotation Estimate document was prepared by Advanced Mechatronics Solutions LLC, United Arab Emirates Dubai. Document Ref: QTE-2025-04782 | Page 1 of 1</w:t>
      </w:r>
    </w:p>
    <w:p>
      <w:pPr>
        <w:pStyle w:val="BodyText"/>
      </w:pPr>
      <w:r>
        <w:t xml:space="preserve">For queries regarding this Quotation Estimate or the Mechatronics Engineer services described herein, please contact our office at +971 4 555 0198 or quotations@advancedmechatronics.ae.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Mechatronics Engineer Services - United Arab Emirates Dubai</dc:title>
  <dc:creator/>
  <dc:language>en</dc:language>
  <cp:keywords/>
  <dcterms:created xsi:type="dcterms:W3CDTF">2026-10-10T01:55:20Z</dcterms:created>
  <dcterms:modified xsi:type="dcterms:W3CDTF">2026-10-10T01:55:20Z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