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meridian-research-solutions-pty-ltd"/>
    <w:p>
      <w:pPr>
        <w:pStyle w:val="Heading1"/>
      </w:pPr>
      <w:r>
        <w:t xml:space="preserve">Meridian Research Solutions Pty Ltd</w:t>
      </w:r>
    </w:p>
    <w:p>
      <w:pPr>
        <w:pStyle w:val="FirstParagraph"/>
      </w:pPr>
      <w:r>
        <w:t xml:space="preserve">ABN: 48 215 673 901 | ACN: 612 345 789</w:t>
      </w:r>
    </w:p>
    <w:p>
      <w:pPr>
        <w:pStyle w:val="BodyText"/>
      </w:pPr>
      <w:r>
        <w:t xml:space="preserve">Level 12, 400 George Street, Brisbane QLD 4000, Australia</w:t>
      </w:r>
    </w:p>
    <w:p>
      <w:pPr>
        <w:pStyle w:val="BodyText"/>
      </w:pPr>
      <w:r>
        <w:t xml:space="preserve">Phone: +61 7 3100 4520 | Email: enquiries@meridianresearch.com.au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QTE-2025-BRIS-0472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Queensland Institute of Advanced Health Sciences</w:t>
      </w:r>
    </w:p>
    <w:p>
      <w:pPr>
        <w:pStyle w:val="BodyText"/>
      </w:pPr>
      <w:r>
        <w:rPr>
          <w:bCs/>
          <w:b/>
        </w:rPr>
        <w:t xml:space="preserve">Location:</w:t>
      </w:r>
      <w:r>
        <w:t xml:space="preserve"> </w:t>
      </w:r>
      <w:r>
        <w:t xml:space="preserve">Australia Brisbane</w:t>
      </w:r>
    </w:p>
    <w:bookmarkEnd w:id="21"/>
    <w:bookmarkStart w:id="22" w:name="client-contact"/>
    <w:p>
      <w:pPr>
        <w:pStyle w:val="Heading3"/>
      </w:pPr>
      <w:r>
        <w:t xml:space="preserve">Client Contact</w:t>
      </w:r>
    </w:p>
    <w:p>
      <w:pPr>
        <w:pStyle w:val="FirstParagraph"/>
      </w:pPr>
      <w:r>
        <w:rPr>
          <w:bCs/>
          <w:b/>
        </w:rPr>
        <w:t xml:space="preserve">Attn:</w:t>
      </w:r>
      <w:r>
        <w:t xml:space="preserve"> </w:t>
      </w:r>
      <w:r>
        <w:t xml:space="preserve">Dr. Sarah Whitfield, Director of Research</w:t>
      </w:r>
    </w:p>
    <w:p>
      <w:pPr>
        <w:pStyle w:val="BodyText"/>
      </w:pPr>
      <w:r>
        <w:rPr>
          <w:bCs/>
          <w:b/>
        </w:rPr>
        <w:t xml:space="preserve">Address:</w:t>
      </w:r>
      <w:r>
        <w:t xml:space="preserve"> </w:t>
      </w:r>
      <w:r>
        <w:t xml:space="preserve">740 Herston Road, Herston QLD 4006</w:t>
      </w:r>
    </w:p>
    <w:p>
      <w:pPr>
        <w:pStyle w:val="BodyText"/>
      </w:pPr>
      <w:r>
        <w:rPr>
          <w:bCs/>
          <w:b/>
        </w:rPr>
        <w:t xml:space="preserve">Phone:</w:t>
      </w:r>
      <w:r>
        <w:t xml:space="preserve"> </w:t>
      </w:r>
      <w:r>
        <w:t xml:space="preserve">+61 7 3365 1000</w:t>
      </w:r>
    </w:p>
    <w:p>
      <w:pPr>
        <w:pStyle w:val="BodyText"/>
      </w:pPr>
      <w:r>
        <w:rPr>
          <w:bCs/>
          <w:b/>
        </w:rPr>
        <w:t xml:space="preserve">Email:</w:t>
      </w:r>
      <w:r>
        <w:t xml:space="preserve"> </w:t>
      </w:r>
      <w:r>
        <w:t xml:space="preserve">s.whitfield@qiahs.edu.au</w:t>
      </w:r>
    </w:p>
    <w:p>
      <w:pPr>
        <w:pStyle w:val="BodyText"/>
      </w:pPr>
      <w:r>
        <w:rPr>
          <w:bCs/>
          <w:b/>
        </w:rPr>
        <w:t xml:space="preserve">Project Ref:</w:t>
      </w:r>
      <w:r>
        <w:t xml:space="preserve"> </w:t>
      </w:r>
      <w:r>
        <w:t xml:space="preserve">QIAHS-2025-MED-019</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Meridian Research Solutions Pty Ltd to provide a comprehensive and transparent financial projection for the engagement of a senior</w:t>
      </w:r>
      <w:r>
        <w:t xml:space="preserve"> </w:t>
      </w:r>
      <w:r>
        <w:t xml:space="preserve">Medical Researcher</w:t>
      </w:r>
      <w:r>
        <w:t xml:space="preserve"> </w:t>
      </w:r>
      <w:r>
        <w:t xml:space="preserve">to support the Queensland Institute of Advanced Health Sciences in conducting a multi-phase clinical and translational research programme. The scope of this engagement is specifically tailored to the operational and regulatory environment of</w:t>
      </w:r>
      <w:r>
        <w:t xml:space="preserve"> </w:t>
      </w:r>
      <w:r>
        <w:t xml:space="preserve">Australia Brisbane</w:t>
      </w:r>
      <w:r>
        <w:t xml:space="preserve">, ensuring full compliance with the Therapeutic Goods Administration (TGA) guidelines, the National Health and Medical Research Council (NHMRC) ethical standards, and all applicable Queensland state legislation governing human research.</w:t>
      </w:r>
    </w:p>
    <w:p>
      <w:pPr>
        <w:pStyle w:val="BodyText"/>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will be responsible for designing, coordinating, and executing a longitudinal study examining biomarker expression in early-stage neurodegenerative conditions. The research will be conducted across three partner hospitals in the</w:t>
      </w:r>
      <w:r>
        <w:t xml:space="preserve"> </w:t>
      </w:r>
      <w:r>
        <w:t xml:space="preserve">Australia Brisbane</w:t>
      </w:r>
      <w:r>
        <w:t xml:space="preserve"> </w:t>
      </w:r>
      <w:r>
        <w:t xml:space="preserve">metropolitan area, including the Royal Brisbane and Women's Hospital, the Princess Alexandra Hospital, and the Queensland Children's Hospital. All data collection, laboratory analysis, and statistical modelling will be performed in accordance with the highest standards of scientific integrity and patient safety.</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Medical Researcher – Principal Investigator (MD, PhD) – Full-time engagement for study design, protocol development, and ethical submission to the Brisbane Human Research Ethics Committee (HREC)</w:t>
            </w:r>
          </w:p>
        </w:tc>
        <w:tc>
          <w:tcPr/>
          <w:p>
            <w:pPr>
              <w:pStyle w:val="Compact"/>
              <w:jc w:val="left"/>
            </w:pPr>
            <w:r>
              <w:t xml:space="preserve">3 months</w:t>
            </w:r>
          </w:p>
        </w:tc>
        <w:tc>
          <w:tcPr/>
          <w:p>
            <w:pPr>
              <w:pStyle w:val="Compact"/>
              <w:jc w:val="left"/>
            </w:pPr>
            <w:r>
              <w:t xml:space="preserve">$185,000 / month</w:t>
            </w:r>
          </w:p>
        </w:tc>
        <w:tc>
          <w:tcPr/>
          <w:p>
            <w:pPr>
              <w:pStyle w:val="Compact"/>
              <w:jc w:val="left"/>
            </w:pPr>
            <w:r>
              <w:t xml:space="preserve">$555,000.00</w:t>
            </w:r>
          </w:p>
        </w:tc>
      </w:tr>
      <w:tr>
        <w:tc>
          <w:tcPr/>
          <w:p>
            <w:pPr>
              <w:pStyle w:val="Compact"/>
              <w:jc w:val="left"/>
            </w:pPr>
            <w:r>
              <w:t xml:space="preserve">02</w:t>
            </w:r>
          </w:p>
        </w:tc>
        <w:tc>
          <w:tcPr/>
          <w:p>
            <w:pPr>
              <w:pStyle w:val="Compact"/>
              <w:jc w:val="left"/>
            </w:pPr>
            <w:r>
              <w:t xml:space="preserve">Medical Researcher – Co-Investigator (MD, MSc) – Patient recruitment coordination, clinical data collection, and site management across three Brisbane hospital locations</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Research Laboratory Support – Wet-lab operations, biomarker assay processing, and quality assurance within the Queensland Biomedical Research Facility, Brisbane</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Statistical Analysis and Data Management – Dedicated biostatistician for longitudinal modelling, interim analyses, and regulatory reporting for TGA and NHMRC compliance</w:t>
            </w:r>
          </w:p>
        </w:tc>
        <w:tc>
          <w:tcPr/>
          <w:p>
            <w:pPr>
              <w:pStyle w:val="Compact"/>
              <w:jc w:val="left"/>
            </w:pPr>
            <w:r>
              <w:t xml:space="preserve">12 months</w:t>
            </w:r>
          </w:p>
        </w:tc>
        <w:tc>
          <w:tcPr/>
          <w:p>
            <w:pPr>
              <w:pStyle w:val="Compact"/>
              <w:jc w:val="left"/>
            </w:pPr>
            <w:r>
              <w:t xml:space="preserve">$38,000 / month</w:t>
            </w:r>
          </w:p>
        </w:tc>
        <w:tc>
          <w:tcPr/>
          <w:p>
            <w:pPr>
              <w:pStyle w:val="Compact"/>
              <w:jc w:val="left"/>
            </w:pPr>
            <w:r>
              <w:t xml:space="preserve">$456,000.00</w:t>
            </w:r>
          </w:p>
        </w:tc>
      </w:tr>
      <w:tr>
        <w:tc>
          <w:tcPr/>
          <w:p>
            <w:pPr>
              <w:pStyle w:val="Compact"/>
              <w:jc w:val="left"/>
            </w:pPr>
            <w:r>
              <w:t xml:space="preserve">05</w:t>
            </w:r>
          </w:p>
        </w:tc>
        <w:tc>
          <w:tcPr/>
          <w:p>
            <w:pPr>
              <w:pStyle w:val="Compact"/>
              <w:jc w:val="left"/>
            </w:pPr>
            <w:r>
              <w:t xml:space="preserve">Regulatory and Ethical Compliance – Ongoing liaison with the Queensland Health Department, TGA, and institutional HREC for the duration of the study in Australia Brisbane</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Publication and Dissemination – Preparation of peer-reviewed manuscripts, conference presentations (including the Australian and New Zealand Clinical Trials Conference), and community reporting</w:t>
            </w:r>
          </w:p>
        </w:tc>
        <w:tc>
          <w:tcPr/>
          <w:p>
            <w:pPr>
              <w:pStyle w:val="Compact"/>
              <w:jc w:val="left"/>
            </w:pPr>
            <w:r>
              <w:t xml:space="preserve">6 months</w:t>
            </w:r>
          </w:p>
        </w:tc>
        <w:tc>
          <w:tcPr/>
          <w:p>
            <w:pPr>
              <w:pStyle w:val="Compact"/>
              <w:jc w:val="left"/>
            </w:pPr>
            <w:r>
              <w:t xml:space="preserve">$22,000 / month</w:t>
            </w:r>
          </w:p>
        </w:tc>
        <w:tc>
          <w:tcPr/>
          <w:p>
            <w:pPr>
              <w:pStyle w:val="Compact"/>
              <w:jc w:val="left"/>
            </w:pPr>
            <w:r>
              <w:t xml:space="preserve">$132,000.00</w:t>
            </w:r>
          </w:p>
        </w:tc>
      </w:tr>
      <w:tr>
        <w:tc>
          <w:tcPr/>
          <w:p>
            <w:pPr>
              <w:pStyle w:val="Compact"/>
              <w:jc w:val="left"/>
            </w:pPr>
            <w:r>
              <w:t xml:space="preserve">07</w:t>
            </w:r>
          </w:p>
        </w:tc>
        <w:tc>
          <w:tcPr/>
          <w:p>
            <w:pPr>
              <w:pStyle w:val="Compact"/>
              <w:jc w:val="left"/>
            </w:pPr>
            <w:r>
              <w:t xml:space="preserve">Project Management and Administrative Oversight – Dedicated project manager for scheduling, budget tracking, stakeholder communication, and progress reporting to the client</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$144,000.00</w:t>
            </w:r>
          </w:p>
        </w:tc>
      </w:tr>
      <w:tr>
        <w:tc>
          <w:tcPr>
            <w:gridSpan w:val="4"/>
          </w:tcPr>
          <w:p>
            <w:pPr>
              <w:pStyle w:val="Compact"/>
              <w:jc w:val="right"/>
            </w:pPr>
            <w:r>
              <w:t xml:space="preserve">Subtotal (AUD)</w:t>
            </w:r>
          </w:p>
        </w:tc>
        <w:tc>
          <w:tcPr/>
          <w:p>
            <w:pPr>
              <w:pStyle w:val="Compact"/>
              <w:jc w:val="left"/>
            </w:pPr>
            <w:r>
              <w:t xml:space="preserve">$3,447,000.00</w:t>
            </w:r>
          </w:p>
        </w:tc>
      </w:tr>
      <w:tr>
        <w:tc>
          <w:tcPr>
            <w:gridSpan w:val="4"/>
          </w:tcPr>
          <w:p>
            <w:pPr>
              <w:pStyle w:val="Compact"/>
              <w:jc w:val="right"/>
            </w:pPr>
            <w:r>
              <w:t xml:space="preserve">GST (10%)</w:t>
            </w:r>
          </w:p>
        </w:tc>
        <w:tc>
          <w:tcPr/>
          <w:p>
            <w:pPr>
              <w:pStyle w:val="Compact"/>
              <w:jc w:val="left"/>
            </w:pPr>
            <w:r>
              <w:t xml:space="preserve">$344,700.00</w:t>
            </w:r>
          </w:p>
        </w:tc>
      </w:tr>
      <w:tr>
        <w:tc>
          <w:tcPr>
            <w:gridSpan w:val="4"/>
          </w:tcPr>
          <w:p>
            <w:pPr>
              <w:pStyle w:val="Compact"/>
              <w:jc w:val="right"/>
            </w:pPr>
            <w:r>
              <w:t xml:space="preserve">TOTAL ESTIMATED COST (AUD, incl. GST)</w:t>
            </w:r>
          </w:p>
        </w:tc>
        <w:tc>
          <w:tcPr/>
          <w:p>
            <w:pPr>
              <w:pStyle w:val="Compact"/>
              <w:jc w:val="left"/>
            </w:pPr>
            <w:r>
              <w:t xml:space="preserve">$3,791,700.00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outlines a phased payment structure aligned with key project milestones. The client shall remit payment within thirty (30) calendar days of invoice issuance. The schedule is as follows:</w:t>
      </w:r>
    </w:p>
    <w:p>
      <w:pPr>
        <w:numPr>
          <w:ilvl w:val="0"/>
          <w:numId w:val="1001"/>
        </w:numPr>
        <w:pStyle w:val="Compact"/>
      </w:pPr>
      <w:r>
        <w:rPr>
          <w:bCs/>
          <w:b/>
        </w:rPr>
        <w:t xml:space="preserve">Milestone 1 (25%):</w:t>
      </w:r>
      <w:r>
        <w:t xml:space="preserve"> </w:t>
      </w:r>
      <w:r>
        <w:t xml:space="preserve">Upon execution of the Service Agreement and receipt of the approved research protocol – $947,925.00</w:t>
      </w:r>
    </w:p>
    <w:p>
      <w:pPr>
        <w:numPr>
          <w:ilvl w:val="0"/>
          <w:numId w:val="1001"/>
        </w:numPr>
        <w:pStyle w:val="Compact"/>
      </w:pPr>
      <w:r>
        <w:rPr>
          <w:bCs/>
          <w:b/>
        </w:rPr>
        <w:t xml:space="preserve">Milestone 2 (25%):</w:t>
      </w:r>
      <w:r>
        <w:t xml:space="preserve"> </w:t>
      </w:r>
      <w:r>
        <w:t xml:space="preserve">Upon HREC approval and commencement of patient recruitment in Australia Brisbane – $947,925.00</w:t>
      </w:r>
    </w:p>
    <w:p>
      <w:pPr>
        <w:numPr>
          <w:ilvl w:val="0"/>
          <w:numId w:val="1001"/>
        </w:numPr>
        <w:pStyle w:val="Compact"/>
      </w:pPr>
      <w:r>
        <w:rPr>
          <w:bCs/>
          <w:b/>
        </w:rPr>
        <w:t xml:space="preserve">Milestone 3 (25%):</w:t>
      </w:r>
      <w:r>
        <w:t xml:space="preserve"> </w:t>
      </w:r>
      <w:r>
        <w:t xml:space="preserve">Upon completion of 50% of the planned patient cohort and interim data analysis – $947,925.00</w:t>
      </w:r>
    </w:p>
    <w:p>
      <w:pPr>
        <w:numPr>
          <w:ilvl w:val="0"/>
          <w:numId w:val="1001"/>
        </w:numPr>
        <w:pStyle w:val="Compact"/>
      </w:pPr>
      <w:r>
        <w:rPr>
          <w:bCs/>
          <w:b/>
        </w:rPr>
        <w:t xml:space="preserve">Milestone 4 (25%):</w:t>
      </w:r>
      <w:r>
        <w:t xml:space="preserve"> </w:t>
      </w:r>
      <w:r>
        <w:t xml:space="preserve">Upon final data lock, completion of statistical analysis, and delivery of the final research report – $947,925.00</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Any acceptance beyond this period may be subject to revised pricing due to market fluctuations in specialist</w:t>
      </w:r>
      <w:r>
        <w:t xml:space="preserve"> </w:t>
      </w:r>
      <w:r>
        <w:t xml:space="preserve">Medical Researcher</w:t>
      </w:r>
      <w:r>
        <w:t xml:space="preserve"> </w:t>
      </w:r>
      <w:r>
        <w:t xml:space="preserve">availability in the</w:t>
      </w:r>
      <w:r>
        <w:t xml:space="preserve"> </w:t>
      </w:r>
      <w:r>
        <w:t xml:space="preserve">Australia Brisbane</w:t>
      </w:r>
      <w:r>
        <w:t xml:space="preserve"> </w:t>
      </w:r>
      <w:r>
        <w:t xml:space="preserve">region.</w:t>
      </w:r>
    </w:p>
    <w:p>
      <w:pPr>
        <w:numPr>
          <w:ilvl w:val="0"/>
          <w:numId w:val="1002"/>
        </w:numPr>
        <w:pStyle w:val="Compact"/>
      </w:pPr>
      <w:r>
        <w:t xml:space="preserve">All rates are quoted in Australian Dollars (AUD) and are inclusive of the</w:t>
      </w:r>
      <w:r>
        <w:t xml:space="preserve"> </w:t>
      </w:r>
      <w:r>
        <w:t xml:space="preserve">Medical Researcher</w:t>
      </w:r>
      <w:r>
        <w:t xml:space="preserve">'s professional indemnity insurance, workers' compensation, and superannuation contributions as mandated by Australian employment law.</w:t>
      </w:r>
    </w:p>
    <w:p>
      <w:pPr>
        <w:numPr>
          <w:ilvl w:val="0"/>
          <w:numId w:val="1002"/>
        </w:numPr>
        <w:pStyle w:val="Compact"/>
      </w:pPr>
      <w:r>
        <w:t xml:space="preserve">Meridian Research Solutions Pty Ltd reserves the right to adjust the scope of work if additional regulatory requirements are imposed by the TGA, NHMRC, or Queensland Health during the project lifecycle. Any such adjustments will be communicated in writing and will not exceed five percent (5%) of the total</w:t>
      </w:r>
      <w:r>
        <w:t xml:space="preserve"> </w:t>
      </w:r>
      <w:r>
        <w:t xml:space="preserve">Quotation Estimate</w:t>
      </w:r>
      <w:r>
        <w:t xml:space="preserve"> </w:t>
      </w:r>
      <w:r>
        <w:t xml:space="preserve">value without prior written consent from the client.</w:t>
      </w:r>
    </w:p>
    <w:p>
      <w:pPr>
        <w:numPr>
          <w:ilvl w:val="0"/>
          <w:numId w:val="1002"/>
        </w:numPr>
        <w:pStyle w:val="Compact"/>
      </w:pPr>
      <w:r>
        <w:t xml:space="preserve">All intellectual property generated by the</w:t>
      </w:r>
      <w:r>
        <w:t xml:space="preserve"> </w:t>
      </w:r>
      <w:r>
        <w:t xml:space="preserve">Medical Researcher</w:t>
      </w:r>
      <w:r>
        <w:t xml:space="preserve"> </w:t>
      </w:r>
      <w:r>
        <w:t xml:space="preserve">team during the course of this engagement shall be jointly owned by Meridian Research Solutions Pty Ltd and the Queensland Institute of Advanced Health Sciences, as detailed in the separate Intellectual Property Agreement.</w:t>
      </w:r>
    </w:p>
    <w:p>
      <w:pPr>
        <w:numPr>
          <w:ilvl w:val="0"/>
          <w:numId w:val="1002"/>
        </w:numPr>
        <w:pStyle w:val="Compact"/>
      </w:pPr>
      <w:r>
        <w:t xml:space="preserve">Confidentiality obligations in accordance with the Privacy Act 1988 (Cth) and the Queensland Health Records Act 2001 shall apply to all patient data, research findings, and proprietary methodologies. The</w:t>
      </w:r>
      <w:r>
        <w:t xml:space="preserve"> </w:t>
      </w:r>
      <w:r>
        <w:t xml:space="preserve">Medical Researcher</w:t>
      </w:r>
      <w:r>
        <w:t xml:space="preserve"> </w:t>
      </w:r>
      <w:r>
        <w:t xml:space="preserve">and all supporting personnel will execute individual Non-Disclosure Agreements prior to commencing work in</w:t>
      </w:r>
      <w:r>
        <w:t xml:space="preserve"> </w:t>
      </w:r>
      <w:r>
        <w:t xml:space="preserve">Australia Brisbane</w:t>
      </w:r>
      <w:r>
        <w:t xml:space="preserve">.</w:t>
      </w:r>
    </w:p>
    <w:p>
      <w:pPr>
        <w:numPr>
          <w:ilvl w:val="0"/>
          <w:numId w:val="1002"/>
        </w:numPr>
        <w:pStyle w:val="Compact"/>
      </w:pPr>
      <w:r>
        <w:t xml:space="preserve">Force majeure events, including but not limited to natural disasters affecting the Brisbane region, pandemics, or government-mandated research pauses, shall suspend the project timeline without penalty to either party.</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Service Agreement shall be resolved through mediation in Brisbane, Queensland, in accordance with the Queensland Civil and Administrative Tribunal (QCAT) procedures, before any litigation is commenced.</w:t>
      </w:r>
    </w:p>
    <w:bookmarkEnd w:id="26"/>
    <w:bookmarkStart w:id="27"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client will provide access to existing patient databases, laboratory infrastructure, and clinical trial registration support. Costs associated with the procurement of novel reagents, specialised imaging equipment, or travel to research sites outside the Greater Brisbane metropolitan area are excluded and will be itemised in a supplementary estimate if required. The</w:t>
      </w:r>
      <w:r>
        <w:t xml:space="preserve"> </w:t>
      </w:r>
      <w:r>
        <w:t xml:space="preserve">Medical Researcher</w:t>
      </w:r>
      <w:r>
        <w:t xml:space="preserve"> </w:t>
      </w:r>
      <w:r>
        <w:t xml:space="preserve">engagement assumes a standard 38-hour work week in accordance with the Australian Medical Research Industry Award.</w:t>
      </w:r>
    </w:p>
    <w:bookmarkEnd w:id="27"/>
    <w:bookmarkStart w:id="28" w:name="acceptance-of-quotation-estimate"/>
    <w:p>
      <w:pPr>
        <w:pStyle w:val="Heading2"/>
      </w:pPr>
      <w:r>
        <w:t xml:space="preserve">6. Acceptance of Quotation Estimate</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the</w:t>
      </w:r>
      <w:r>
        <w:t xml:space="preserve"> </w:t>
      </w:r>
      <w:r>
        <w:t xml:space="preserve">Medical Researcher</w:t>
      </w:r>
      <w:r>
        <w:t xml:space="preserve"> </w:t>
      </w:r>
      <w:r>
        <w:t xml:space="preserve">team as described herein, and agrees to the terms, conditions, and payment schedule outlined in this document. This acceptance constitutes a binding commitment to proceed with the research programme in</w:t>
      </w:r>
      <w:r>
        <w:t xml:space="preserve"> </w:t>
      </w:r>
      <w:r>
        <w:t xml:space="preserve">Australia Brisbane</w:t>
      </w:r>
      <w:r>
        <w:t xml:space="preserve"> </w:t>
      </w:r>
      <w:r>
        <w:t xml:space="preserve">under the terms set forth by Meridian Research Solutions Pty Ltd.</w:t>
      </w:r>
    </w:p>
    <w:p>
      <w:pPr>
        <w:pStyle w:val="BodyText"/>
      </w:pPr>
      <w:r>
        <w:br/>
      </w:r>
    </w:p>
    <w:p>
      <w:pPr>
        <w:pStyle w:val="BodyText"/>
      </w:pPr>
      <w:r>
        <w:t xml:space="preserve">Authorised Representative – Client</w:t>
      </w:r>
    </w:p>
    <w:p>
      <w:pPr>
        <w:pStyle w:val="BodyText"/>
      </w:pPr>
      <w:r>
        <w:t xml:space="preserve">Name: ________________________    Date: ______________</w:t>
      </w:r>
    </w:p>
    <w:p>
      <w:pPr>
        <w:pStyle w:val="BodyText"/>
      </w:pPr>
      <w:r>
        <w:t xml:space="preserve">Authorised Representative – Meridian Research Solutions</w:t>
      </w:r>
    </w:p>
    <w:p>
      <w:pPr>
        <w:pStyle w:val="BodyText"/>
      </w:pPr>
      <w:r>
        <w:t xml:space="preserve">Name: James A. Thornton, Managing Director    Date: ______________</w:t>
      </w:r>
    </w:p>
    <w:bookmarkEnd w:id="28"/>
    <w:p>
      <w:pPr>
        <w:pStyle w:val="BodyText"/>
      </w:pPr>
      <w:r>
        <w:t xml:space="preserve">Meridian Research Solutions Pty Ltd | ABN 48 215 673 901 | Level 12, 400 George Street, Brisbane QLD 4000, Australia</w:t>
      </w:r>
    </w:p>
    <w:p>
      <w:pPr>
        <w:pStyle w:val="BodyText"/>
      </w:pPr>
      <w:r>
        <w:t xml:space="preserve">This Quotation Estimate is confidential and intended solely for the named recipient. Unauthorised reproduction or distribution is prohibited.</w:t>
      </w:r>
    </w:p>
    <w:p>
      <w:pPr>
        <w:pStyle w:val="BodyText"/>
      </w:pPr>
      <w:r>
        <w:t xml:space="preserve">Document Reference: QTE-2025-BRIS-0472 |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Australia Brisbane</dc:title>
  <dc:creator/>
  <dc:language>en</dc:language>
  <cp:keywords/>
  <dcterms:created xsi:type="dcterms:W3CDTF">2026-10-10T07:03:07Z</dcterms:created>
  <dcterms:modified xsi:type="dcterms:W3CDTF">2026-10-10T07:03:07Z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