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Meridian Clinical Research Solutions Pty Ltd</w:t>
      </w:r>
    </w:p>
    <w:p>
      <w:pPr>
        <w:pStyle w:val="BodyText"/>
      </w:pPr>
      <w:r>
        <w:t xml:space="preserve">Level 12, 88 Collins Street, Melbourne VIC 3000, Australia</w:t>
      </w:r>
    </w:p>
    <w:p>
      <w:pPr>
        <w:pStyle w:val="BodyText"/>
      </w:pPr>
      <w:r>
        <w:t xml:space="preserve">ABN: 48 123 456 789 | ACN: 123 456 789</w:t>
      </w:r>
    </w:p>
    <w:p>
      <w:pPr>
        <w:pStyle w:val="BodyText"/>
      </w:pPr>
      <w:r>
        <w:t xml:space="preserve">Phone: +61 3 9123 4567 | Email: quotes@meridianclinicalresearch.com.au</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QTE-2025-MR-0472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Dr. Sarah Whitfield, Chief Investigator</w:t>
      </w:r>
    </w:p>
    <w:p>
      <w:pPr>
        <w:pStyle w:val="BodyText"/>
      </w:pPr>
      <w:r>
        <w:rPr>
          <w:bCs/>
          <w:b/>
        </w:rPr>
        <w:t xml:space="preserve">Organisation:</w:t>
      </w:r>
      <w:r>
        <w:t xml:space="preserve"> </w:t>
      </w:r>
      <w:r>
        <w:t xml:space="preserve">Royal Melbourne Hospital Research Institute</w:t>
      </w:r>
    </w:p>
    <w:p>
      <w:pPr>
        <w:pStyle w:val="BodyText"/>
      </w:pPr>
      <w:r>
        <w:rPr>
          <w:bCs/>
          <w:b/>
        </w:rPr>
        <w:t xml:space="preserve">Address:</w:t>
      </w:r>
      <w:r>
        <w:t xml:space="preserve"> </w:t>
      </w:r>
      <w:r>
        <w:t xml:space="preserve">320 Royal Parade, Parkville VIC 3052, Australia Melbourne</w:t>
      </w:r>
    </w:p>
    <w:bookmarkEnd w:id="21"/>
    <w:bookmarkStart w:id="22" w:name="project-reference"/>
    <w:p>
      <w:pPr>
        <w:pStyle w:val="Heading3"/>
      </w:pPr>
      <w:r>
        <w:t xml:space="preserve">Project Reference</w:t>
      </w:r>
    </w:p>
    <w:p>
      <w:pPr>
        <w:pStyle w:val="FirstParagraph"/>
      </w:pPr>
      <w:r>
        <w:rPr>
          <w:bCs/>
          <w:b/>
        </w:rPr>
        <w:t xml:space="preserve">Project Title:</w:t>
      </w:r>
      <w:r>
        <w:t xml:space="preserve"> </w:t>
      </w:r>
      <w:r>
        <w:t xml:space="preserve">Phase II Clinical Trial – Novel Oncology Therapeutic</w:t>
      </w:r>
    </w:p>
    <w:p>
      <w:pPr>
        <w:pStyle w:val="BodyText"/>
      </w:pPr>
      <w:r>
        <w:rPr>
          <w:bCs/>
          <w:b/>
        </w:rPr>
        <w:t xml:space="preserve">Project Code:</w:t>
      </w:r>
      <w:r>
        <w:t xml:space="preserve"> </w:t>
      </w:r>
      <w:r>
        <w:t xml:space="preserve">RMH-ONC-2025-019</w:t>
      </w:r>
    </w:p>
    <w:p>
      <w:pPr>
        <w:pStyle w:val="BodyText"/>
      </w:pPr>
      <w:r>
        <w:rPr>
          <w:bCs/>
          <w:b/>
        </w:rPr>
        <w:t xml:space="preserve">Engagement Type:</w:t>
      </w:r>
      <w:r>
        <w:t xml:space="preserve"> </w:t>
      </w:r>
      <w:r>
        <w:t xml:space="preserve">Contracted Medical Researcher Services</w:t>
      </w:r>
    </w:p>
    <w:p>
      <w:pPr>
        <w:pStyle w:val="BodyText"/>
      </w:pPr>
      <w:r>
        <w:rPr>
          <w:bCs/>
          <w:b/>
        </w:rPr>
        <w:t xml:space="preserve">Duration:</w:t>
      </w:r>
      <w:r>
        <w:t xml:space="preserve"> </w:t>
      </w:r>
      <w:r>
        <w:t xml:space="preserve">12 months (July 2025 – June 2026)</w:t>
      </w:r>
    </w:p>
    <w:p>
      <w:pPr>
        <w:pStyle w:val="BodyText"/>
      </w:pPr>
      <w:r>
        <w:rPr>
          <w:bCs/>
          <w:b/>
        </w:rPr>
        <w:t xml:space="preserve">Location:</w:t>
      </w:r>
      <w:r>
        <w:t xml:space="preserve"> </w:t>
      </w:r>
      <w:r>
        <w:t xml:space="preserve">Australia Melbourne (Primary Site)</w:t>
      </w:r>
    </w:p>
    <w:p>
      <w:pPr>
        <w:pStyle w:val="BodyText"/>
      </w:pPr>
      <w:r>
        <w:rPr>
          <w:bCs/>
          <w:b/>
        </w:rPr>
        <w:t xml:space="preserve">Compliance:</w:t>
      </w:r>
      <w:r>
        <w:t xml:space="preserve"> </w:t>
      </w:r>
      <w:r>
        <w:t xml:space="preserve">NHMRC Guidelines, TGA Regulations</w:t>
      </w:r>
    </w:p>
    <w:bookmarkEnd w:id="22"/>
    <w:p>
      <w:pPr>
        <w:pStyle w:val="BodyText"/>
      </w:pPr>
      <w:r>
        <w:t xml:space="preserve">1. Scope of Services – Medical Researcher Engagement</w:t>
      </w:r>
    </w:p>
    <w:p>
      <w:pPr>
        <w:pStyle w:val="BodyText"/>
      </w:pPr>
      <w:r>
        <w:t xml:space="preserve">This Quotation Estimate outlines the professional services to be provided by a senior</w:t>
      </w:r>
      <w:r>
        <w:t xml:space="preserve"> </w:t>
      </w:r>
      <w:r>
        <w:t xml:space="preserve">Medical Researcher</w:t>
      </w:r>
      <w:r>
        <w:t xml:space="preserve"> </w:t>
      </w:r>
      <w:r>
        <w:t xml:space="preserve">engaged under contract to support the Royal Melbourne Hospital Research Institute in conducting a Phase II clinical trial. The</w:t>
      </w:r>
      <w:r>
        <w:t xml:space="preserve"> </w:t>
      </w:r>
      <w:r>
        <w:t xml:space="preserve">Medical Researcher</w:t>
      </w:r>
      <w:r>
        <w:t xml:space="preserve"> </w:t>
      </w:r>
      <w:r>
        <w:t xml:space="preserve">will be based in</w:t>
      </w:r>
      <w:r>
        <w:t xml:space="preserve"> </w:t>
      </w:r>
      <w:r>
        <w:t xml:space="preserve">Australia Melbourne</w:t>
      </w:r>
      <w:r>
        <w:t xml:space="preserve"> </w:t>
      </w:r>
      <w:r>
        <w:t xml:space="preserve">and will operate in accordance with all applicable Australian health research regulations, including the National Statement on Ethical Conduct in Human Research (NHMRC) and Therapeutic Goods Administration (TGA) requirements. The scope encompasses clinical data collection, biostatistical analysis, protocol adherence monitoring, peer-reviewed publication drafting, and regulatory reporting specific to the</w:t>
      </w:r>
      <w:r>
        <w:t xml:space="preserve"> </w:t>
      </w:r>
      <w:r>
        <w:t xml:space="preserve">Australia Melbourne</w:t>
      </w:r>
      <w:r>
        <w:t xml:space="preserve"> </w:t>
      </w:r>
      <w:r>
        <w:t xml:space="preserve">research environment.</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1.1</w:t>
            </w:r>
          </w:p>
        </w:tc>
        <w:tc>
          <w:tcPr/>
          <w:p>
            <w:pPr>
              <w:pStyle w:val="Compact"/>
              <w:jc w:val="left"/>
            </w:pPr>
            <w:r>
              <w:t xml:space="preserve">Senior Medical Researcher – Clinical Trial Oversight (full-time, 40 hrs/week)</w:t>
            </w:r>
          </w:p>
        </w:tc>
        <w:tc>
          <w:tcPr/>
          <w:p>
            <w:pPr>
              <w:pStyle w:val="Compact"/>
              <w:jc w:val="left"/>
            </w:pPr>
            <w:r>
              <w:t xml:space="preserve">$145.00/hr</w:t>
            </w:r>
          </w:p>
        </w:tc>
        <w:tc>
          <w:tcPr/>
          <w:p>
            <w:pPr>
              <w:pStyle w:val="Compact"/>
              <w:jc w:val="left"/>
            </w:pPr>
            <w:r>
              <w:t xml:space="preserve">2,080 hrs</w:t>
            </w:r>
          </w:p>
        </w:tc>
        <w:tc>
          <w:tcPr/>
          <w:p>
            <w:pPr>
              <w:pStyle w:val="Compact"/>
              <w:jc w:val="left"/>
            </w:pPr>
            <w:r>
              <w:t xml:space="preserve">$301,600.00</w:t>
            </w:r>
          </w:p>
        </w:tc>
        <w:tc>
          <w:tcPr/>
          <w:p>
            <w:pPr>
              <w:pStyle w:val="Compact"/>
              <w:jc w:val="left"/>
            </w:pPr>
            <w:r>
              <w:t xml:space="preserve">Based in Australia Melbourne</w:t>
            </w:r>
          </w:p>
        </w:tc>
      </w:tr>
      <w:tr>
        <w:tc>
          <w:tcPr/>
          <w:p>
            <w:pPr>
              <w:pStyle w:val="Compact"/>
              <w:jc w:val="left"/>
            </w:pPr>
            <w:r>
              <w:t xml:space="preserve">1.2</w:t>
            </w:r>
          </w:p>
        </w:tc>
        <w:tc>
          <w:tcPr/>
          <w:p>
            <w:pPr>
              <w:pStyle w:val="Compact"/>
              <w:jc w:val="left"/>
            </w:pPr>
            <w:r>
              <w:t xml:space="preserve">Biostatistical Analysis &amp; Data Management (specialist Medical Researcher support)</w:t>
            </w:r>
          </w:p>
        </w:tc>
        <w:tc>
          <w:tcPr/>
          <w:p>
            <w:pPr>
              <w:pStyle w:val="Compact"/>
              <w:jc w:val="left"/>
            </w:pPr>
            <w:r>
              <w:t xml:space="preserve">$165.00/hr</w:t>
            </w:r>
          </w:p>
        </w:tc>
        <w:tc>
          <w:tcPr/>
          <w:p>
            <w:pPr>
              <w:pStyle w:val="Compact"/>
              <w:jc w:val="left"/>
            </w:pPr>
            <w:r>
              <w:t xml:space="preserve">320 hrs</w:t>
            </w:r>
          </w:p>
        </w:tc>
        <w:tc>
          <w:tcPr/>
          <w:p>
            <w:pPr>
              <w:pStyle w:val="Compact"/>
              <w:jc w:val="left"/>
            </w:pPr>
            <w:r>
              <w:t xml:space="preserve">$52,800.00</w:t>
            </w:r>
          </w:p>
        </w:tc>
        <w:tc>
          <w:tcPr/>
          <w:p>
            <w:pPr>
              <w:pStyle w:val="Compact"/>
              <w:jc w:val="left"/>
            </w:pPr>
            <w:r>
              <w:t xml:space="preserve">Quarterly deliverables</w:t>
            </w:r>
          </w:p>
        </w:tc>
      </w:tr>
      <w:tr>
        <w:tc>
          <w:tcPr/>
          <w:p>
            <w:pPr>
              <w:pStyle w:val="Compact"/>
              <w:jc w:val="left"/>
            </w:pPr>
            <w:r>
              <w:t xml:space="preserve">1.3</w:t>
            </w:r>
          </w:p>
        </w:tc>
        <w:tc>
          <w:tcPr/>
          <w:p>
            <w:pPr>
              <w:pStyle w:val="Compact"/>
              <w:jc w:val="left"/>
            </w:pPr>
            <w:r>
              <w:t xml:space="preserve">Regulatory Compliance &amp; TGA Reporting (Australia Melbourne jurisdiction)</w:t>
            </w:r>
          </w:p>
        </w:tc>
        <w:tc>
          <w:tcPr/>
          <w:p>
            <w:pPr>
              <w:pStyle w:val="Compact"/>
              <w:jc w:val="left"/>
            </w:pPr>
            <w:r>
              <w:t xml:space="preserve">$155.00/hr</w:t>
            </w:r>
          </w:p>
        </w:tc>
        <w:tc>
          <w:tcPr/>
          <w:p>
            <w:pPr>
              <w:pStyle w:val="Compact"/>
              <w:jc w:val="left"/>
            </w:pPr>
            <w:r>
              <w:t xml:space="preserve">160 hrs</w:t>
            </w:r>
          </w:p>
        </w:tc>
        <w:tc>
          <w:tcPr/>
          <w:p>
            <w:pPr>
              <w:pStyle w:val="Compact"/>
              <w:jc w:val="left"/>
            </w:pPr>
            <w:r>
              <w:t xml:space="preserve">$24,800.00</w:t>
            </w:r>
          </w:p>
        </w:tc>
        <w:tc>
          <w:tcPr/>
          <w:p>
            <w:pPr>
              <w:pStyle w:val="Compact"/>
              <w:jc w:val="left"/>
            </w:pPr>
            <w:r>
              <w:t xml:space="preserve">Per TGA schedule</w:t>
            </w:r>
          </w:p>
        </w:tc>
      </w:tr>
      <w:tr>
        <w:tc>
          <w:tcPr/>
          <w:p>
            <w:pPr>
              <w:pStyle w:val="Compact"/>
              <w:jc w:val="left"/>
            </w:pPr>
            <w:r>
              <w:t xml:space="preserve">1.4</w:t>
            </w:r>
          </w:p>
        </w:tc>
        <w:tc>
          <w:tcPr/>
          <w:p>
            <w:pPr>
              <w:pStyle w:val="Compact"/>
              <w:jc w:val="left"/>
            </w:pPr>
            <w:r>
              <w:t xml:space="preserve">Peer-Reviewed Manuscript Preparation &amp; Publication Support</w:t>
            </w:r>
          </w:p>
        </w:tc>
        <w:tc>
          <w:tcPr/>
          <w:p>
            <w:pPr>
              <w:pStyle w:val="Compact"/>
              <w:jc w:val="left"/>
            </w:pPr>
            <w:r>
              <w:t xml:space="preserve">$145.00/hr</w:t>
            </w:r>
          </w:p>
        </w:tc>
        <w:tc>
          <w:tcPr/>
          <w:p>
            <w:pPr>
              <w:pStyle w:val="Compact"/>
              <w:jc w:val="left"/>
            </w:pPr>
            <w:r>
              <w:t xml:space="preserve">120 hrs</w:t>
            </w:r>
          </w:p>
        </w:tc>
        <w:tc>
          <w:tcPr/>
          <w:p>
            <w:pPr>
              <w:pStyle w:val="Compact"/>
              <w:jc w:val="left"/>
            </w:pPr>
            <w:r>
              <w:t xml:space="preserve">$17,400.00</w:t>
            </w:r>
          </w:p>
        </w:tc>
        <w:tc>
          <w:tcPr/>
          <w:p>
            <w:pPr>
              <w:pStyle w:val="Compact"/>
              <w:jc w:val="left"/>
            </w:pPr>
            <w:r>
              <w:t xml:space="preserve">Minimum 2 publications</w:t>
            </w:r>
          </w:p>
        </w:tc>
      </w:tr>
      <w:tr>
        <w:tc>
          <w:tcPr/>
          <w:p>
            <w:pPr>
              <w:pStyle w:val="Compact"/>
              <w:jc w:val="left"/>
            </w:pPr>
            <w:r>
              <w:t xml:space="preserve">1.5</w:t>
            </w:r>
          </w:p>
        </w:tc>
        <w:tc>
          <w:tcPr/>
          <w:p>
            <w:pPr>
              <w:pStyle w:val="Compact"/>
              <w:jc w:val="left"/>
            </w:pPr>
            <w:r>
              <w:t xml:space="preserve">Ethics Committee Submissions (HREC – Australia Melbourne)</w:t>
            </w:r>
          </w:p>
        </w:tc>
        <w:tc>
          <w:tcPr/>
          <w:p>
            <w:pPr>
              <w:pStyle w:val="Compact"/>
              <w:jc w:val="left"/>
            </w:pPr>
            <w:r>
              <w:t xml:space="preserve">$150.00/hr</w:t>
            </w:r>
          </w:p>
        </w:tc>
        <w:tc>
          <w:tcPr/>
          <w:p>
            <w:pPr>
              <w:pStyle w:val="Compact"/>
              <w:jc w:val="left"/>
            </w:pPr>
            <w:r>
              <w:t xml:space="preserve">80 hrs</w:t>
            </w:r>
          </w:p>
        </w:tc>
        <w:tc>
          <w:tcPr/>
          <w:p>
            <w:pPr>
              <w:pStyle w:val="Compact"/>
              <w:jc w:val="left"/>
            </w:pPr>
            <w:r>
              <w:t xml:space="preserve">$12,000.00</w:t>
            </w:r>
          </w:p>
        </w:tc>
        <w:tc>
          <w:tcPr/>
          <w:p>
            <w:pPr>
              <w:pStyle w:val="Compact"/>
              <w:jc w:val="left"/>
            </w:pPr>
            <w:r>
              <w:t xml:space="preserve">Initial + amendments</w:t>
            </w:r>
          </w:p>
        </w:tc>
      </w:tr>
      <w:tr>
        <w:tc>
          <w:tcPr/>
          <w:p>
            <w:pPr>
              <w:pStyle w:val="Compact"/>
              <w:jc w:val="left"/>
            </w:pPr>
            <w:r>
              <w:t xml:space="preserve">1.6</w:t>
            </w:r>
          </w:p>
        </w:tc>
        <w:tc>
          <w:tcPr/>
          <w:p>
            <w:pPr>
              <w:pStyle w:val="Compact"/>
              <w:jc w:val="left"/>
            </w:pPr>
            <w:r>
              <w:t xml:space="preserve">Site Visits &amp; Multi-Centre Coordination (within Australia Melbourne metro)</w:t>
            </w:r>
          </w:p>
        </w:tc>
        <w:tc>
          <w:tcPr/>
          <w:p>
            <w:pPr>
              <w:pStyle w:val="Compact"/>
              <w:jc w:val="left"/>
            </w:pPr>
            <w:r>
              <w:t xml:space="preserve">$175.00/hr</w:t>
            </w:r>
          </w:p>
        </w:tc>
        <w:tc>
          <w:tcPr/>
          <w:p>
            <w:pPr>
              <w:pStyle w:val="Compact"/>
              <w:jc w:val="left"/>
            </w:pPr>
            <w:r>
              <w:t xml:space="preserve">96 hrs</w:t>
            </w:r>
          </w:p>
        </w:tc>
        <w:tc>
          <w:tcPr/>
          <w:p>
            <w:pPr>
              <w:pStyle w:val="Compact"/>
              <w:jc w:val="left"/>
            </w:pPr>
            <w:r>
              <w:t xml:space="preserve">$16,800.00</w:t>
            </w:r>
          </w:p>
        </w:tc>
        <w:tc>
          <w:tcPr/>
          <w:p>
            <w:pPr>
              <w:pStyle w:val="Compact"/>
              <w:jc w:val="left"/>
            </w:pPr>
            <w:r>
              <w:t xml:space="preserve">Travel included</w:t>
            </w:r>
          </w:p>
        </w:tc>
      </w:tr>
      <w:tr>
        <w:tc>
          <w:tcPr/>
          <w:p>
            <w:pPr>
              <w:pStyle w:val="Compact"/>
              <w:jc w:val="left"/>
            </w:pPr>
            <w:r>
              <w:t xml:space="preserve">1.7</w:t>
            </w:r>
          </w:p>
        </w:tc>
        <w:tc>
          <w:tcPr/>
          <w:p>
            <w:pPr>
              <w:pStyle w:val="Compact"/>
              <w:jc w:val="left"/>
            </w:pPr>
            <w:r>
              <w:t xml:space="preserve">Project Management &amp; Stakeholder Reporting</w:t>
            </w:r>
          </w:p>
        </w:tc>
        <w:tc>
          <w:tcPr/>
          <w:p>
            <w:pPr>
              <w:pStyle w:val="Compact"/>
              <w:jc w:val="left"/>
            </w:pPr>
            <w:r>
              <w:t xml:space="preserve">$140.00/hr</w:t>
            </w:r>
          </w:p>
        </w:tc>
        <w:tc>
          <w:tcPr/>
          <w:p>
            <w:pPr>
              <w:pStyle w:val="Compact"/>
              <w:jc w:val="left"/>
            </w:pPr>
            <w:r>
              <w:t xml:space="preserve">240 hrs</w:t>
            </w:r>
          </w:p>
        </w:tc>
        <w:tc>
          <w:tcPr/>
          <w:p>
            <w:pPr>
              <w:pStyle w:val="Compact"/>
              <w:jc w:val="left"/>
            </w:pPr>
            <w:r>
              <w:t xml:space="preserve">$33,600.00</w:t>
            </w:r>
          </w:p>
        </w:tc>
        <w:tc>
          <w:tcPr/>
          <w:p>
            <w:pPr>
              <w:pStyle w:val="Compact"/>
              <w:jc w:val="left"/>
            </w:pPr>
            <w:r>
              <w:t xml:space="preserve">Monthly reports</w:t>
            </w:r>
          </w:p>
        </w:tc>
      </w:tr>
      <w:tr>
        <w:tc>
          <w:tcPr/>
          <w:p>
            <w:pPr>
              <w:pStyle w:val="Compact"/>
              <w:jc w:val="left"/>
            </w:pPr>
            <w:r>
              <w:t xml:space="preserve">1.8</w:t>
            </w:r>
          </w:p>
        </w:tc>
        <w:tc>
          <w:tcPr/>
          <w:p>
            <w:pPr>
              <w:pStyle w:val="Compact"/>
              <w:jc w:val="left"/>
            </w:pPr>
            <w:r>
              <w:t xml:space="preserve">Professional Indemnity Insurance (Medical Researcher, Australia Melbourne)</w:t>
            </w:r>
          </w:p>
        </w:tc>
        <w:tc>
          <w:tcPr/>
          <w:p>
            <w:pPr>
              <w:pStyle w:val="Compact"/>
              <w:jc w:val="left"/>
            </w:pPr>
            <w:r>
              <w:t xml:space="preserve">Flat fee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$20M coverage</w:t>
            </w:r>
          </w:p>
        </w:tc>
      </w:tr>
      <w:tr>
        <w:tc>
          <w:tcPr/>
          <w:p>
            <w:pPr>
              <w:pStyle w:val="Compact"/>
              <w:jc w:val="left"/>
            </w:pPr>
            <w:r>
              <w:t xml:space="preserve">1.9</w:t>
            </w:r>
          </w:p>
        </w:tc>
        <w:tc>
          <w:tcPr/>
          <w:p>
            <w:pPr>
              <w:pStyle w:val="Compact"/>
              <w:jc w:val="left"/>
            </w:pPr>
            <w:r>
              <w:t xml:space="preserve">Software Licences (SAS, R, REDCap, SPSS) – Annual</w:t>
            </w:r>
          </w:p>
        </w:tc>
        <w:tc>
          <w:tcPr/>
          <w:p>
            <w:pPr>
              <w:pStyle w:val="Compact"/>
              <w:jc w:val="left"/>
            </w:pPr>
            <w:r>
              <w:t xml:space="preserve">Flat fee</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Per-user licences</w:t>
            </w:r>
          </w:p>
        </w:tc>
      </w:tr>
      <w:tr>
        <w:tc>
          <w:tcPr/>
          <w:p>
            <w:pPr>
              <w:pStyle w:val="Compact"/>
              <w:jc w:val="left"/>
            </w:pPr>
            <w:r>
              <w:t xml:space="preserve">1.10</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$23,150.00</w:t>
            </w:r>
          </w:p>
        </w:tc>
        <w:tc>
          <w:tcPr/>
          <w:p>
            <w:pPr>
              <w:pStyle w:val="Compact"/>
              <w:jc w:val="left"/>
            </w:pPr>
            <w:r>
              <w:t xml:space="preserve">Scope adjustments</w:t>
            </w:r>
          </w:p>
        </w:tc>
      </w:tr>
      <w:tr>
        <w:tc>
          <w:tcPr>
            <w:gridSpan w:val="4"/>
          </w:tcPr>
          <w:p>
            <w:pPr>
              <w:pStyle w:val="Compact"/>
              <w:jc w:val="left"/>
            </w:pPr>
            <w:r>
              <w:rPr>
                <w:bCs/>
                <w:b/>
              </w:rPr>
              <w:t xml:space="preserve">TOTAL QUOTATION ESTIMATE (excl. GST)</w:t>
            </w:r>
          </w:p>
        </w:tc>
        <w:tc>
          <w:tcPr/>
          <w:p>
            <w:pPr>
              <w:pStyle w:val="Compact"/>
              <w:jc w:val="left"/>
            </w:pPr>
            <w:r>
              <w:rPr>
                <w:bCs/>
                <w:b/>
              </w:rPr>
              <w:t xml:space="preserve">$506,850.00</w:t>
            </w:r>
          </w:p>
        </w:tc>
        <w:tc>
          <w:tcPr/>
          <w:p>
            <w:pPr>
              <w:pStyle w:val="Compact"/>
            </w:pPr>
          </w:p>
        </w:tc>
      </w:tr>
      <w:tr>
        <w:tc>
          <w:tcPr>
            <w:gridSpan w:val="4"/>
          </w:tcPr>
          <w:p>
            <w:pPr>
              <w:pStyle w:val="Compact"/>
              <w:jc w:val="left"/>
            </w:pPr>
            <w:r>
              <w:rPr>
                <w:bCs/>
                <w:b/>
              </w:rPr>
              <w:t xml:space="preserve">GST (10%)</w:t>
            </w:r>
          </w:p>
        </w:tc>
        <w:tc>
          <w:tcPr/>
          <w:p>
            <w:pPr>
              <w:pStyle w:val="Compact"/>
              <w:jc w:val="left"/>
            </w:pPr>
            <w:r>
              <w:rPr>
                <w:bCs/>
                <w:b/>
              </w:rPr>
              <w:t xml:space="preserve">$50,685.00</w:t>
            </w:r>
          </w:p>
        </w:tc>
        <w:tc>
          <w:tcPr/>
          <w:p>
            <w:pPr>
              <w:pStyle w:val="Compact"/>
            </w:pPr>
          </w:p>
        </w:tc>
      </w:tr>
      <w:tr>
        <w:tc>
          <w:tcPr>
            <w:gridSpan w:val="4"/>
          </w:tcPr>
          <w:p>
            <w:pPr>
              <w:pStyle w:val="Compact"/>
              <w:jc w:val="left"/>
            </w:pPr>
            <w:r>
              <w:rPr>
                <w:bCs/>
                <w:b/>
              </w:rPr>
              <w:t xml:space="preserve">TOTAL QUOTATION ESTIMATE (incl. GST)</w:t>
            </w:r>
          </w:p>
        </w:tc>
        <w:tc>
          <w:tcPr/>
          <w:p>
            <w:pPr>
              <w:pStyle w:val="Compact"/>
              <w:jc w:val="left"/>
            </w:pPr>
            <w:r>
              <w:rPr>
                <w:bCs/>
                <w:b/>
              </w:rPr>
              <w:t xml:space="preserve">$557,535.00</w:t>
            </w:r>
          </w:p>
        </w:tc>
        <w:tc>
          <w:tcPr/>
          <w:p>
            <w:pPr>
              <w:pStyle w:val="Compact"/>
            </w:pPr>
          </w:p>
        </w:tc>
      </w:tr>
    </w:tbl>
    <w:p>
      <w:pPr>
        <w:pStyle w:val="BodyText"/>
      </w:pPr>
      <w:r>
        <w:t xml:space="preserve">3. Terms and Conditions</w:t>
      </w:r>
    </w:p>
    <w:p>
      <w:pPr>
        <w:pStyle w:val="BodyText"/>
      </w:pPr>
      <w:r>
        <w:rPr>
          <w:bCs/>
          <w:b/>
        </w:rPr>
        <w:t xml:space="preserve">3.1</w:t>
      </w:r>
      <w:r>
        <w:t xml:space="preserve"> </w:t>
      </w:r>
      <w:r>
        <w:t xml:space="preserve">This Quotation Estimate is valid for thirty (30) calendar days from the date of issue. Upon expiry, all rates and availability of the designated Medical Researcher must be reconfirmed in writing.</w:t>
      </w:r>
    </w:p>
    <w:p>
      <w:pPr>
        <w:pStyle w:val="BodyText"/>
      </w:pPr>
      <w:r>
        <w:rPr>
          <w:bCs/>
          <w:b/>
        </w:rPr>
        <w:t xml:space="preserve">3.2</w:t>
      </w:r>
      <w:r>
        <w:t xml:space="preserve"> </w:t>
      </w:r>
      <w:r>
        <w:t xml:space="preserve">Payment terms: 50% deposit upon acceptance of this Quotation Estimate; remaining 50% payable in equal monthly instalments over the twelve-month engagement period. All payments are due within fourteen (14) days of invoice date.</w:t>
      </w:r>
    </w:p>
    <w:p>
      <w:pPr>
        <w:pStyle w:val="BodyText"/>
      </w:pPr>
      <w:r>
        <w:rPr>
          <w:bCs/>
          <w:b/>
        </w:rPr>
        <w:t xml:space="preserve">3.3</w:t>
      </w:r>
      <w:r>
        <w:t xml:space="preserve"> </w:t>
      </w:r>
      <w:r>
        <w:t xml:space="preserve">The Medical Researcher shall comply with all Australian privacy legislation, including the Privacy Act 1988 (Cth) and the Australian Privacy Principles (APPs), particularly regarding the handling of human research participant data within Australia Melbourne.</w:t>
      </w:r>
    </w:p>
    <w:p>
      <w:pPr>
        <w:pStyle w:val="BodyText"/>
      </w:pPr>
      <w:r>
        <w:rPr>
          <w:bCs/>
          <w:b/>
        </w:rPr>
        <w:t xml:space="preserve">3.4</w:t>
      </w:r>
      <w:r>
        <w:t xml:space="preserve"> </w:t>
      </w:r>
      <w:r>
        <w:t xml:space="preserve">All intellectual property generated during the course of this engagement shall be jointly owned by Meridian Clinical Research Solutions Pty Ltd and the Royal Melbourne Hospital Research Institute, as stipulated in the separate Intellectual Property Agreement (IP-2025-0472).</w:t>
      </w:r>
    </w:p>
    <w:p>
      <w:pPr>
        <w:pStyle w:val="BodyText"/>
      </w:pPr>
      <w:r>
        <w:rPr>
          <w:bCs/>
          <w:b/>
        </w:rPr>
        <w:t xml:space="preserve">3.5</w:t>
      </w:r>
      <w:r>
        <w:t xml:space="preserve"> </w:t>
      </w:r>
      <w:r>
        <w:t xml:space="preserve">Either party may terminate this engagement with thirty (30) days written notice. In the event of early termination, the Medical Researcher shall be compensated for all services rendered up to the termination date, plus a 10% wind-down fee.</w:t>
      </w:r>
    </w:p>
    <w:p>
      <w:pPr>
        <w:pStyle w:val="BodyText"/>
      </w:pPr>
      <w:r>
        <w:rPr>
          <w:bCs/>
          <w:b/>
        </w:rPr>
        <w:t xml:space="preserve">3.6</w:t>
      </w:r>
      <w:r>
        <w:t xml:space="preserve"> </w:t>
      </w:r>
      <w:r>
        <w:t xml:space="preserve">This Quotation Estimate does not constitute a binding contract until countersigned by both parties. All services are subject to the execution of a formal Service Agreement.</w:t>
      </w:r>
    </w:p>
    <w:p>
      <w:pPr>
        <w:pStyle w:val="BodyText"/>
      </w:pPr>
      <w:r>
        <w:rPr>
          <w:bCs/>
          <w:b/>
        </w:rPr>
        <w:t xml:space="preserve">3.7</w:t>
      </w:r>
      <w:r>
        <w:t xml:space="preserve"> </w:t>
      </w:r>
      <w:r>
        <w:t xml:space="preserve">The Medical Researcher is engaged as an independent contractor and not as an employee of the client organisation. The Medical Researcher is responsible for their own tax obligations in accordance with Australian Taxation Office (ATO) requirements applicable in Australia Melbourne.</w:t>
      </w:r>
    </w:p>
    <w:p>
      <w:pPr>
        <w:pStyle w:val="BodyText"/>
      </w:pPr>
      <w:r>
        <w:rPr>
          <w:bCs/>
          <w:b/>
        </w:rPr>
        <w:t xml:space="preserve">3.8</w:t>
      </w:r>
      <w:r>
        <w:t xml:space="preserve"> </w:t>
      </w:r>
      <w:r>
        <w:t xml:space="preserve">Any variation to the scope of work outlined in this Quotation Estimate must be agreed upon in writing by both parties prior to commencement of the additional work. A supplementary Quotation Estimate will be issued for any such variations.</w:t>
      </w:r>
    </w:p>
    <w:p>
      <w:pPr>
        <w:pStyle w:val="BodyText"/>
      </w:pPr>
      <w:r>
        <w:t xml:space="preserve">4. Acceptance</w:t>
      </w:r>
    </w:p>
    <w:p>
      <w:pPr>
        <w:pStyle w:val="BodyText"/>
      </w:pPr>
      <w:r>
        <w:t xml:space="preserve">By signing below, the client acknowledges receipt of this Quotation Estimate and agrees to the terms, conditions, and pricing outlined herein for the engagement of a Medical Researcher based in Australia Melbourne.</w:t>
      </w:r>
    </w:p>
    <w:bookmarkStart w:id="23" w:name="Xcb07b04cb57586d76cb61275c1fe6e4d2532f1b"/>
    <w:p>
      <w:pPr>
        <w:pStyle w:val="Heading4"/>
      </w:pPr>
      <w:r>
        <w:t xml:space="preserve">For Meridian Clinical Research Solutions Pty Ltd</w:t>
      </w:r>
    </w:p>
    <w:p>
      <w:pPr>
        <w:pStyle w:val="FirstParagraph"/>
      </w:pPr>
      <w:r>
        <w:rPr>
          <w:bCs/>
          <w:b/>
        </w:rPr>
        <w:t xml:space="preserve">Name:</w:t>
      </w:r>
      <w:r>
        <w:t xml:space="preserve"> </w:t>
      </w:r>
      <w:r>
        <w:t xml:space="preserve">Dr. James O'Connor, Managing Director</w:t>
      </w:r>
    </w:p>
    <w:p>
      <w:pPr>
        <w:pStyle w:val="BodyText"/>
      </w:pPr>
      <w:r>
        <w:rPr>
          <w:bCs/>
          <w:b/>
        </w:rPr>
        <w:t xml:space="preserve">Date:</w:t>
      </w:r>
      <w:r>
        <w:t xml:space="preserve"> </w:t>
      </w:r>
      <w:r>
        <w:t xml:space="preserve">____________________</w:t>
      </w:r>
    </w:p>
    <w:p>
      <w:pPr>
        <w:pStyle w:val="BodyText"/>
      </w:pPr>
      <w:r>
        <w:rPr>
          <w:bCs/>
          <w:b/>
        </w:rPr>
        <w:t xml:space="preserve">Signature:</w:t>
      </w:r>
    </w:p>
    <w:bookmarkEnd w:id="23"/>
    <w:bookmarkStart w:id="24" w:name="X5fcb99782b6f9364c0c59e45b5b046a75eb9694"/>
    <w:p>
      <w:pPr>
        <w:pStyle w:val="Heading4"/>
      </w:pPr>
      <w:r>
        <w:t xml:space="preserve">For Royal Melbourne Hospital Research Institute (Client)</w:t>
      </w:r>
    </w:p>
    <w:p>
      <w:pPr>
        <w:pStyle w:val="FirstParagraph"/>
      </w:pPr>
      <w:r>
        <w:rPr>
          <w:bCs/>
          <w:b/>
        </w:rPr>
        <w:t xml:space="preserve">Name:</w:t>
      </w:r>
      <w:r>
        <w:t xml:space="preserve"> </w:t>
      </w:r>
      <w:r>
        <w:t xml:space="preserve">Dr. Sarah Whitfield, Chief Investigator</w:t>
      </w:r>
    </w:p>
    <w:p>
      <w:pPr>
        <w:pStyle w:val="BodyText"/>
      </w:pPr>
      <w:r>
        <w:rPr>
          <w:bCs/>
          <w:b/>
        </w:rPr>
        <w:t xml:space="preserve">Date:</w:t>
      </w:r>
      <w:r>
        <w:t xml:space="preserve"> </w:t>
      </w:r>
      <w:r>
        <w:t xml:space="preserve">____________________</w:t>
      </w:r>
    </w:p>
    <w:p>
      <w:pPr>
        <w:pStyle w:val="BodyText"/>
      </w:pPr>
      <w:r>
        <w:rPr>
          <w:bCs/>
          <w:b/>
        </w:rPr>
        <w:t xml:space="preserve">Signature:</w:t>
      </w:r>
    </w:p>
    <w:bookmarkEnd w:id="24"/>
    <w:p>
      <w:pPr>
        <w:pStyle w:val="BodyText"/>
      </w:pPr>
      <w:r>
        <w:t xml:space="preserve">This Quotation Estimate was prepared by Meridian Clinical Research Solutions Pty Ltd, a registered company in Australia Melbourne, Victoria. All amounts are quoted in Australian Dollars (AUD). This document is confidential and intended solely for the named recipient. Quotation Estimate No. QTE-2025-MR-0472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Australia Melbourne</dc:title>
  <dc:creator/>
  <dc:language>en</dc:language>
  <cp:keywords/>
  <dcterms:created xsi:type="dcterms:W3CDTF">2026-10-10T04:45:06Z</dcterms:created>
  <dcterms:modified xsi:type="dcterms:W3CDTF">2026-10-10T04:45:06Z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