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Dhaka Biomedical Research &amp; Consulting Ltd.</w:t>
      </w:r>
    </w:p>
    <w:p>
      <w:pPr>
        <w:pStyle w:val="BodyText"/>
      </w:pPr>
      <w:r>
        <w:t xml:space="preserve">House 42, Road 11, Banani, Dhaka 1213, Bangladesh</w:t>
      </w:r>
    </w:p>
    <w:p>
      <w:pPr>
        <w:pStyle w:val="BodyText"/>
      </w:pPr>
      <w:r>
        <w:t xml:space="preserve">Tel: +880-2-9887654 | Email: quotations@dhakabiomedical.com.bd</w:t>
      </w:r>
    </w:p>
    <w:p>
      <w:pPr>
        <w:pStyle w:val="BodyText"/>
      </w:pPr>
      <w:r>
        <w:t xml:space="preserve">VAT Reg. No: 001234567-0100 | Trade License: DL-2024-00891</w:t>
      </w:r>
    </w:p>
    <w:p>
      <w:pPr>
        <w:pStyle w:val="BodyText"/>
      </w:pPr>
      <w:r>
        <w:t xml:space="preserve">OFFICIAL QUOTATION ESTIMATE</w:t>
      </w:r>
    </w:p>
    <w:bookmarkEnd w:id="20"/>
    <w:p>
      <w:pPr>
        <w:pStyle w:val="BodyText"/>
      </w:pPr>
      <w:r>
        <w:rPr>
          <w:bCs/>
          <w:b/>
        </w:rPr>
        <w:t xml:space="preserve">Quotation No:</w:t>
      </w:r>
      <w:r>
        <w:t xml:space="preserve"> </w:t>
      </w:r>
      <w:r>
        <w:t xml:space="preserve">QTE-2025-BD-00472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Bangladesh Institute of Medical Research (BIMR)</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Dhaka Biomedical Research &amp; Consulting Ltd. to provide a comprehensive and itemized cost breakdown for the engagement of a qualified</w:t>
      </w:r>
      <w:r>
        <w:t xml:space="preserve"> </w:t>
      </w:r>
      <w:r>
        <w:t xml:space="preserve">Medical Researcher</w:t>
      </w:r>
      <w:r>
        <w:t xml:space="preserve"> </w:t>
      </w:r>
      <w:r>
        <w:t xml:space="preserve">to conduct a multi-phase clinical and epidemiological study within the greater</w:t>
      </w:r>
      <w:r>
        <w:t xml:space="preserve"> </w:t>
      </w:r>
      <w:r>
        <w:t xml:space="preserve">Bangladesh Dhaka</w:t>
      </w:r>
      <w:r>
        <w:t xml:space="preserve"> </w:t>
      </w:r>
      <w:r>
        <w:t xml:space="preserve">metropolitan area. This document serves as the official financial proposal and scope-of-work summary for the proposed research engagement. All pricing, deliverables, timelines, and contractual obligations outlined herein are binding upon mutual acceptance and signature by both parties.</w:t>
      </w:r>
    </w:p>
    <w:p>
      <w:pPr>
        <w:pStyle w:val="BodyText"/>
      </w:pPr>
      <w:r>
        <w:t xml:space="preserve">The</w:t>
      </w:r>
      <w:r>
        <w:t xml:space="preserve"> </w:t>
      </w:r>
      <w:r>
        <w:t xml:space="preserve">Medical Researcher</w:t>
      </w:r>
      <w:r>
        <w:t xml:space="preserve"> </w:t>
      </w:r>
      <w:r>
        <w:t xml:space="preserve">proposed for this engagement holds a Doctor of Philosophy (PhD) in Clinical Epidemiology from the University of Dhaka, with over twelve years of published research experience in infectious disease modeling, maternal health outcomes, and urban public health interventions specific to the</w:t>
      </w:r>
      <w:r>
        <w:t xml:space="preserve"> </w:t>
      </w:r>
      <w:r>
        <w:t xml:space="preserve">Bangladesh Dhaka</w:t>
      </w:r>
      <w:r>
        <w:t xml:space="preserve"> </w:t>
      </w:r>
      <w:r>
        <w:t xml:space="preserve">region. The researcher is registered with the Bangladesh Medical and Dental Council (BMDC) and holds current ethical clearance from the Institutional Review Board (IRB) of the Bangladesh Institute of Medical Research.</w:t>
      </w:r>
    </w:p>
    <w:bookmarkEnd w:id="21"/>
    <w:bookmarkStart w:id="22" w:name="Xb1e69cda2657fb3522d5f06f68500be55311324"/>
    <w:p>
      <w:pPr>
        <w:pStyle w:val="Heading2"/>
      </w:pPr>
      <w:r>
        <w:t xml:space="preserve">2. Scope of Services – Medical Researcher Engagement</w:t>
      </w:r>
    </w:p>
    <w:p>
      <w:pPr>
        <w:pStyle w:val="FirstParagraph"/>
      </w:pPr>
      <w:r>
        <w:t xml:space="preserve">The following services are encompassed under this</w:t>
      </w:r>
      <w:r>
        <w:t xml:space="preserve"> </w:t>
      </w:r>
      <w:r>
        <w:t xml:space="preserve">Quotation Estimate</w:t>
      </w:r>
      <w:r>
        <w:t xml:space="preserve"> </w:t>
      </w:r>
      <w:r>
        <w:t xml:space="preserve">for the</w:t>
      </w:r>
      <w:r>
        <w:t xml:space="preserve"> </w:t>
      </w:r>
      <w:r>
        <w:t xml:space="preserve">Medical Researcher</w:t>
      </w:r>
      <w:r>
        <w:t xml:space="preserve"> </w:t>
      </w:r>
      <w:r>
        <w:t xml:space="preserve">role, to be executed across designated hospitals, community health centers, and field sites within</w:t>
      </w:r>
      <w:r>
        <w:t xml:space="preserve"> </w:t>
      </w:r>
      <w:r>
        <w:t xml:space="preserve">Bangladesh Dhaka</w:t>
      </w:r>
      <w:r>
        <w:t xml:space="preserve">:</w:t>
      </w:r>
    </w:p>
    <w:p>
      <w:pPr>
        <w:numPr>
          <w:ilvl w:val="0"/>
          <w:numId w:val="1001"/>
        </w:numPr>
        <w:pStyle w:val="Compact"/>
      </w:pPr>
      <w:r>
        <w:t xml:space="preserve">Design and development of a peer-reviewed research protocol for a 24-month longitudinal cohort study on antibiotic resistance patterns in tertiary care hospitals in</w:t>
      </w:r>
      <w:r>
        <w:t xml:space="preserve"> </w:t>
      </w:r>
      <w:r>
        <w:t xml:space="preserve">Bangladesh Dhaka</w:t>
      </w:r>
      <w:r>
        <w:t xml:space="preserve">.</w:t>
      </w:r>
    </w:p>
    <w:p>
      <w:pPr>
        <w:numPr>
          <w:ilvl w:val="0"/>
          <w:numId w:val="1001"/>
        </w:numPr>
        <w:pStyle w:val="Compact"/>
      </w:pPr>
      <w:r>
        <w:t xml:space="preserve">Recruitment, training, and supervision of a field research team of 15 personnel across six districts within the</w:t>
      </w:r>
      <w:r>
        <w:t xml:space="preserve"> </w:t>
      </w:r>
      <w:r>
        <w:t xml:space="preserve">Bangladesh Dhaka</w:t>
      </w:r>
      <w:r>
        <w:t xml:space="preserve"> </w:t>
      </w:r>
      <w:r>
        <w:t xml:space="preserve">division.</w:t>
      </w:r>
    </w:p>
    <w:p>
      <w:pPr>
        <w:numPr>
          <w:ilvl w:val="0"/>
          <w:numId w:val="1001"/>
        </w:numPr>
        <w:pStyle w:val="Compact"/>
      </w:pPr>
      <w:r>
        <w:t xml:space="preserve">Conduct of 4,000 patient interviews, clinical sample collections, and laboratory analyses in coordination with Dhaka Medical College Hospital and Square Hospital.</w:t>
      </w:r>
    </w:p>
    <w:p>
      <w:pPr>
        <w:numPr>
          <w:ilvl w:val="0"/>
          <w:numId w:val="1001"/>
        </w:numPr>
        <w:pStyle w:val="Compact"/>
      </w:pPr>
      <w:r>
        <w:t xml:space="preserve">Statistical data analysis, manuscript preparation, and submission to at least two internationally indexed peer-reviewed journals.</w:t>
      </w:r>
    </w:p>
    <w:p>
      <w:pPr>
        <w:numPr>
          <w:ilvl w:val="0"/>
          <w:numId w:val="1001"/>
        </w:numPr>
        <w:pStyle w:val="Compact"/>
      </w:pPr>
      <w:r>
        <w:t xml:space="preserve">Two (2) public research presentations at national medical conferences held in</w:t>
      </w:r>
      <w:r>
        <w:t xml:space="preserve"> </w:t>
      </w:r>
      <w:r>
        <w:t xml:space="preserve">Bangladesh Dhaka</w:t>
      </w:r>
      <w:r>
        <w:t xml:space="preserve">.</w:t>
      </w:r>
    </w:p>
    <w:p>
      <w:pPr>
        <w:numPr>
          <w:ilvl w:val="0"/>
          <w:numId w:val="1001"/>
        </w:numPr>
        <w:pStyle w:val="Compact"/>
      </w:pPr>
      <w:r>
        <w:t xml:space="preserve">Monthly progress reporting to the sponsoring institution and quarterly stakeholder briefings.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Sl. No.</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Cost (BDT)</w:t>
            </w:r>
          </w:p>
        </w:tc>
        <w:tc>
          <w:tcPr/>
          <w:p>
            <w:pPr>
              <w:pStyle w:val="Compact"/>
              <w:jc w:val="left"/>
            </w:pPr>
            <w:r>
              <w:t xml:space="preserve">Total Cost (BDT)</w:t>
            </w:r>
          </w:p>
        </w:tc>
      </w:tr>
      <w:tr>
        <w:tc>
          <w:tcPr/>
          <w:p>
            <w:pPr>
              <w:pStyle w:val="Compact"/>
              <w:jc w:val="left"/>
            </w:pPr>
            <w:r>
              <w:t xml:space="preserve">1</w:t>
            </w:r>
          </w:p>
        </w:tc>
        <w:tc>
          <w:tcPr/>
          <w:p>
            <w:pPr>
              <w:pStyle w:val="Compact"/>
              <w:jc w:val="left"/>
            </w:pPr>
            <w:r>
              <w:t xml:space="preserve">Medical Researcher</w:t>
            </w:r>
            <w:r>
              <w:t xml:space="preserve"> </w:t>
            </w:r>
            <w:r>
              <w:t xml:space="preserve">– Principal Investigator Monthly Honorarium (PhD, 12+ yrs experience)</w:t>
            </w:r>
          </w:p>
        </w:tc>
        <w:tc>
          <w:tcPr/>
          <w:p>
            <w:pPr>
              <w:pStyle w:val="Compact"/>
              <w:jc w:val="left"/>
            </w:pPr>
            <w:r>
              <w:t xml:space="preserve">24 months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Research Protocol Design &amp; IRB Submission (Bangladesh Dhaka IRB)</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Field Research Team – 15 Personnel (Recruitment, Training, Stipends)</w:t>
            </w:r>
          </w:p>
        </w:tc>
        <w:tc>
          <w:tcPr/>
          <w:p>
            <w:pPr>
              <w:pStyle w:val="Compact"/>
              <w:jc w:val="left"/>
            </w:pPr>
            <w:r>
              <w:t xml:space="preserve">24 months</w:t>
            </w:r>
          </w:p>
        </w:tc>
        <w:tc>
          <w:tcPr/>
          <w:p>
            <w:pPr>
              <w:pStyle w:val="Compact"/>
              <w:jc w:val="left"/>
            </w:pPr>
            <w:r>
              <w:t xml:space="preserve">1,200,000</w:t>
            </w:r>
          </w:p>
        </w:tc>
        <w:tc>
          <w:tcPr/>
          <w:p>
            <w:pPr>
              <w:pStyle w:val="Compact"/>
              <w:jc w:val="left"/>
            </w:pPr>
            <w:r>
              <w:t xml:space="preserve">28,800,000</w:t>
            </w:r>
          </w:p>
        </w:tc>
      </w:tr>
      <w:tr>
        <w:tc>
          <w:tcPr/>
          <w:p>
            <w:pPr>
              <w:pStyle w:val="Compact"/>
              <w:jc w:val="left"/>
            </w:pPr>
            <w:r>
              <w:t xml:space="preserve">4</w:t>
            </w:r>
          </w:p>
        </w:tc>
        <w:tc>
          <w:tcPr/>
          <w:p>
            <w:pPr>
              <w:pStyle w:val="Compact"/>
              <w:jc w:val="left"/>
            </w:pPr>
            <w:r>
              <w:t xml:space="preserve">Laboratory Sample Processing &amp; Microbiological Analysis (4,000 samples)</w:t>
            </w:r>
          </w:p>
        </w:tc>
        <w:tc>
          <w:tcPr/>
          <w:p>
            <w:pPr>
              <w:pStyle w:val="Compact"/>
              <w:jc w:val="left"/>
            </w:pPr>
            <w:r>
              <w:t xml:space="preserve">4,000 units</w:t>
            </w:r>
          </w:p>
        </w:tc>
        <w:tc>
          <w:tcPr/>
          <w:p>
            <w:pPr>
              <w:pStyle w:val="Compact"/>
              <w:jc w:val="left"/>
            </w:pPr>
            <w:r>
              <w:t xml:space="preserve">1,850</w:t>
            </w:r>
          </w:p>
        </w:tc>
        <w:tc>
          <w:tcPr/>
          <w:p>
            <w:pPr>
              <w:pStyle w:val="Compact"/>
              <w:jc w:val="left"/>
            </w:pPr>
            <w:r>
              <w:t xml:space="preserve">7,400,000</w:t>
            </w:r>
          </w:p>
        </w:tc>
      </w:tr>
      <w:tr>
        <w:tc>
          <w:tcPr/>
          <w:p>
            <w:pPr>
              <w:pStyle w:val="Compact"/>
              <w:jc w:val="left"/>
            </w:pPr>
            <w:r>
              <w:t xml:space="preserve">5</w:t>
            </w:r>
          </w:p>
        </w:tc>
        <w:tc>
          <w:tcPr/>
          <w:p>
            <w:pPr>
              <w:pStyle w:val="Compact"/>
              <w:jc w:val="left"/>
            </w:pPr>
            <w:r>
              <w:t xml:space="preserve">Patient Interview &amp; Data Collection (Field Visits across Bangladesh Dhaka)</w:t>
            </w:r>
          </w:p>
        </w:tc>
        <w:tc>
          <w:tcPr/>
          <w:p>
            <w:pPr>
              <w:pStyle w:val="Compact"/>
              <w:jc w:val="left"/>
            </w:pPr>
            <w:r>
              <w:t xml:space="preserve">4,000 visits</w:t>
            </w:r>
          </w:p>
        </w:tc>
        <w:tc>
          <w:tcPr/>
          <w:p>
            <w:pPr>
              <w:pStyle w:val="Compact"/>
              <w:jc w:val="left"/>
            </w:pPr>
            <w:r>
              <w:t xml:space="preserve">950</w:t>
            </w:r>
          </w:p>
        </w:tc>
        <w:tc>
          <w:tcPr/>
          <w:p>
            <w:pPr>
              <w:pStyle w:val="Compact"/>
              <w:jc w:val="left"/>
            </w:pPr>
            <w:r>
              <w:t xml:space="preserve">3,800,000</w:t>
            </w:r>
          </w:p>
        </w:tc>
      </w:tr>
      <w:tr>
        <w:tc>
          <w:tcPr/>
          <w:p>
            <w:pPr>
              <w:pStyle w:val="Compact"/>
              <w:jc w:val="left"/>
            </w:pPr>
            <w:r>
              <w:t xml:space="preserve">6</w:t>
            </w:r>
          </w:p>
        </w:tc>
        <w:tc>
          <w:tcPr/>
          <w:p>
            <w:pPr>
              <w:pStyle w:val="Compact"/>
              <w:jc w:val="left"/>
            </w:pPr>
            <w:r>
              <w:t xml:space="preserve">Statistical Software License (SPSS, R, Stata) &amp; Data Management</w:t>
            </w:r>
          </w:p>
        </w:tc>
        <w:tc>
          <w:tcPr/>
          <w:p>
            <w:pPr>
              <w:pStyle w:val="Compact"/>
              <w:jc w:val="left"/>
            </w:pPr>
            <w:r>
              <w:t xml:space="preserve">24 months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7</w:t>
            </w:r>
          </w:p>
        </w:tc>
        <w:tc>
          <w:tcPr/>
          <w:p>
            <w:pPr>
              <w:pStyle w:val="Compact"/>
              <w:jc w:val="left"/>
            </w:pPr>
            <w:r>
              <w:t xml:space="preserve">Manuscript Preparation, Journal Publication Fees &amp; Peer Review</w:t>
            </w:r>
          </w:p>
        </w:tc>
        <w:tc>
          <w:tcPr/>
          <w:p>
            <w:pPr>
              <w:pStyle w:val="Compact"/>
              <w:jc w:val="left"/>
            </w:pPr>
            <w:r>
              <w:t xml:space="preserve">2 publications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8</w:t>
            </w:r>
          </w:p>
        </w:tc>
        <w:tc>
          <w:tcPr/>
          <w:p>
            <w:pPr>
              <w:pStyle w:val="Compact"/>
              <w:jc w:val="left"/>
            </w:pPr>
            <w:r>
              <w:t xml:space="preserve">Conference Presentations &amp; Travel within Bangladesh Dhaka</w:t>
            </w:r>
          </w:p>
        </w:tc>
        <w:tc>
          <w:tcPr/>
          <w:p>
            <w:pPr>
              <w:pStyle w:val="Compact"/>
              <w:jc w:val="left"/>
            </w:pPr>
            <w:r>
              <w:t xml:space="preserve">2 events</w:t>
            </w:r>
          </w:p>
        </w:tc>
        <w:tc>
          <w:tcPr/>
          <w:p>
            <w:pPr>
              <w:pStyle w:val="Compact"/>
              <w:jc w:val="left"/>
            </w:pPr>
            <w:r>
              <w:t xml:space="preserve">175,000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Office Space, Equipment &amp; Administrative Overhead (Banani, Dhaka)</w:t>
            </w:r>
          </w:p>
        </w:tc>
        <w:tc>
          <w:tcPr/>
          <w:p>
            <w:pPr>
              <w:pStyle w:val="Compact"/>
              <w:jc w:val="left"/>
            </w:pPr>
            <w:r>
              <w:t xml:space="preserve">24 months</w:t>
            </w:r>
          </w:p>
        </w:tc>
        <w:tc>
          <w:tcPr/>
          <w:p>
            <w:pPr>
              <w:pStyle w:val="Compact"/>
              <w:jc w:val="left"/>
            </w:pPr>
            <w:r>
              <w:t xml:space="preserve">95,000</w:t>
            </w:r>
          </w:p>
        </w:tc>
        <w:tc>
          <w:tcPr/>
          <w:p>
            <w:pPr>
              <w:pStyle w:val="Compact"/>
              <w:jc w:val="left"/>
            </w:pPr>
            <w:r>
              <w:t xml:space="preserve">2,280,000</w:t>
            </w:r>
          </w:p>
        </w:tc>
      </w:tr>
      <w:tr>
        <w:tc>
          <w:tcPr/>
          <w:p>
            <w:pPr>
              <w:pStyle w:val="Compact"/>
              <w:jc w:val="left"/>
            </w:pPr>
            <w:r>
              <w:t xml:space="preserve">10</w:t>
            </w:r>
          </w:p>
        </w:tc>
        <w:tc>
          <w:tcPr/>
          <w:p>
            <w:pPr>
              <w:pStyle w:val="Compact"/>
              <w:jc w:val="left"/>
            </w:pPr>
            <w:r>
              <w:t xml:space="preserve">Contingency &amp; Unforeseen Operational Costs (5%)</w:t>
            </w:r>
          </w:p>
        </w:tc>
        <w:tc>
          <w:tcPr/>
          <w:p>
            <w:pPr>
              <w:pStyle w:val="Compact"/>
              <w:jc w:val="left"/>
            </w:pPr>
            <w:r>
              <w:t xml:space="preserve">1 lot</w:t>
            </w:r>
          </w:p>
        </w:tc>
        <w:tc>
          <w:tcPr/>
          <w:p>
            <w:pPr>
              <w:pStyle w:val="Compact"/>
              <w:jc w:val="left"/>
            </w:pPr>
            <w:r>
              <w:t xml:space="preserve">—</w:t>
            </w:r>
          </w:p>
        </w:tc>
        <w:tc>
          <w:tcPr/>
          <w:p>
            <w:pPr>
              <w:pStyle w:val="Compact"/>
              <w:jc w:val="left"/>
            </w:pPr>
            <w:r>
              <w:t xml:space="preserve">2,550,000</w:t>
            </w:r>
          </w:p>
        </w:tc>
      </w:tr>
      <w:tr>
        <w:tc>
          <w:tcPr>
            <w:gridSpan w:val="4"/>
          </w:tcPr>
          <w:p>
            <w:pPr>
              <w:pStyle w:val="Compact"/>
              <w:jc w:val="right"/>
            </w:pPr>
            <w:r>
              <w:t xml:space="preserve">GRAND TOTAL (Before VAT):</w:t>
            </w:r>
          </w:p>
        </w:tc>
        <w:tc>
          <w:tcPr/>
          <w:p>
            <w:pPr>
              <w:pStyle w:val="Compact"/>
              <w:jc w:val="left"/>
            </w:pPr>
            <w:r>
              <w:t xml:space="preserve">53,650,000</w:t>
            </w:r>
          </w:p>
        </w:tc>
      </w:tr>
      <w:tr>
        <w:tc>
          <w:tcPr>
            <w:gridSpan w:val="4"/>
          </w:tcPr>
          <w:p>
            <w:pPr>
              <w:pStyle w:val="Compact"/>
              <w:jc w:val="right"/>
            </w:pPr>
            <w:r>
              <w:t xml:space="preserve">VAT @ 15% (Bangladesh Government Rate):</w:t>
            </w:r>
          </w:p>
        </w:tc>
        <w:tc>
          <w:tcPr/>
          <w:p>
            <w:pPr>
              <w:pStyle w:val="Compact"/>
              <w:jc w:val="left"/>
            </w:pPr>
            <w:r>
              <w:t xml:space="preserve">8,047,500</w:t>
            </w:r>
          </w:p>
        </w:tc>
      </w:tr>
      <w:tr>
        <w:tc>
          <w:tcPr>
            <w:gridSpan w:val="4"/>
          </w:tcPr>
          <w:p>
            <w:pPr>
              <w:pStyle w:val="Compact"/>
              <w:jc w:val="right"/>
            </w:pPr>
            <w:r>
              <w:t xml:space="preserve">NET TOTAL (Incl. VAT):</w:t>
            </w:r>
          </w:p>
        </w:tc>
        <w:tc>
          <w:tcPr/>
          <w:p>
            <w:pPr>
              <w:pStyle w:val="Compact"/>
              <w:jc w:val="left"/>
            </w:pPr>
            <w:r>
              <w:t xml:space="preserve">61,697,500</w:t>
            </w:r>
          </w:p>
        </w:tc>
      </w:tr>
    </w:tbl>
    <w:p>
      <w:pPr>
        <w:pStyle w:val="BodyText"/>
      </w:pPr>
      <w:r>
        <w:t xml:space="preserve">All amounts are quoted in Bangladeshi Taka (BDT). Exchange rate reference: 1 USD ≈ 118 BDT as of the date of this Quotation Estimate.</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(BDT)</w:t>
            </w:r>
          </w:p>
        </w:tc>
        <w:tc>
          <w:tcPr/>
          <w:p>
            <w:pPr>
              <w:pStyle w:val="Compact"/>
              <w:jc w:val="left"/>
            </w:pPr>
            <w:r>
              <w:t xml:space="preserve">Due Date</w:t>
            </w:r>
          </w:p>
        </w:tc>
      </w:tr>
      <w:tr>
        <w:tc>
          <w:tcPr/>
          <w:p>
            <w:pPr>
              <w:pStyle w:val="Compact"/>
              <w:jc w:val="left"/>
            </w:pPr>
            <w:r>
              <w:t xml:space="preserve">Contract Signing &amp; Advance</w:t>
            </w:r>
          </w:p>
        </w:tc>
        <w:tc>
          <w:tcPr/>
          <w:p>
            <w:pPr>
              <w:pStyle w:val="Compact"/>
              <w:jc w:val="left"/>
            </w:pPr>
            <w:r>
              <w:t xml:space="preserve">25%</w:t>
            </w:r>
          </w:p>
        </w:tc>
        <w:tc>
          <w:tcPr/>
          <w:p>
            <w:pPr>
              <w:pStyle w:val="Compact"/>
              <w:jc w:val="left"/>
            </w:pPr>
            <w:r>
              <w:t xml:space="preserve">15,424,375</w:t>
            </w:r>
          </w:p>
        </w:tc>
        <w:tc>
          <w:tcPr/>
          <w:p>
            <w:pPr>
              <w:pStyle w:val="Compact"/>
              <w:jc w:val="left"/>
            </w:pPr>
            <w:r>
              <w:t xml:space="preserve">Within 7 days of acceptance</w:t>
            </w:r>
          </w:p>
        </w:tc>
      </w:tr>
      <w:tr>
        <w:tc>
          <w:tcPr/>
          <w:p>
            <w:pPr>
              <w:pStyle w:val="Compact"/>
              <w:jc w:val="left"/>
            </w:pPr>
            <w:r>
              <w:t xml:space="preserve">Protocol Approval &amp; IRB Clearance</w:t>
            </w:r>
          </w:p>
        </w:tc>
        <w:tc>
          <w:tcPr/>
          <w:p>
            <w:pPr>
              <w:pStyle w:val="Compact"/>
              <w:jc w:val="left"/>
            </w:pPr>
            <w:r>
              <w:t xml:space="preserve">20%</w:t>
            </w:r>
          </w:p>
        </w:tc>
        <w:tc>
          <w:tcPr/>
          <w:p>
            <w:pPr>
              <w:pStyle w:val="Compact"/>
              <w:jc w:val="left"/>
            </w:pPr>
            <w:r>
              <w:t xml:space="preserve">12,339,500</w:t>
            </w:r>
          </w:p>
        </w:tc>
        <w:tc>
          <w:tcPr/>
          <w:p>
            <w:pPr>
              <w:pStyle w:val="Compact"/>
              <w:jc w:val="left"/>
            </w:pPr>
            <w:r>
              <w:t xml:space="preserve">Upon IRB approval</w:t>
            </w:r>
          </w:p>
        </w:tc>
      </w:tr>
      <w:tr>
        <w:tc>
          <w:tcPr/>
          <w:p>
            <w:pPr>
              <w:pStyle w:val="Compact"/>
              <w:jc w:val="left"/>
            </w:pPr>
            <w:r>
              <w:t xml:space="preserve">Mid-Project (Month 12) Progress Report</w:t>
            </w:r>
          </w:p>
        </w:tc>
        <w:tc>
          <w:tcPr/>
          <w:p>
            <w:pPr>
              <w:pStyle w:val="Compact"/>
              <w:jc w:val="left"/>
            </w:pPr>
            <w:r>
              <w:t xml:space="preserve">25%</w:t>
            </w:r>
          </w:p>
        </w:tc>
        <w:tc>
          <w:tcPr/>
          <w:p>
            <w:pPr>
              <w:pStyle w:val="Compact"/>
              <w:jc w:val="left"/>
            </w:pPr>
            <w:r>
              <w:t xml:space="preserve">15,424,375</w:t>
            </w:r>
          </w:p>
        </w:tc>
        <w:tc>
          <w:tcPr/>
          <w:p>
            <w:pPr>
              <w:pStyle w:val="Compact"/>
              <w:jc w:val="left"/>
            </w:pPr>
            <w:r>
              <w:t xml:space="preserve">Month 13</w:t>
            </w:r>
          </w:p>
        </w:tc>
      </w:tr>
      <w:tr>
        <w:tc>
          <w:tcPr/>
          <w:p>
            <w:pPr>
              <w:pStyle w:val="Compact"/>
              <w:jc w:val="left"/>
            </w:pPr>
            <w:r>
              <w:t xml:space="preserve">Final Data Submission &amp; Manuscript Acceptance</w:t>
            </w:r>
          </w:p>
        </w:tc>
        <w:tc>
          <w:tcPr/>
          <w:p>
            <w:pPr>
              <w:pStyle w:val="Compact"/>
              <w:jc w:val="left"/>
            </w:pPr>
            <w:r>
              <w:t xml:space="preserve">25%</w:t>
            </w:r>
          </w:p>
        </w:tc>
        <w:tc>
          <w:tcPr/>
          <w:p>
            <w:pPr>
              <w:pStyle w:val="Compact"/>
              <w:jc w:val="left"/>
            </w:pPr>
            <w:r>
              <w:t xml:space="preserve">15,424,375</w:t>
            </w:r>
          </w:p>
        </w:tc>
        <w:tc>
          <w:tcPr/>
          <w:p>
            <w:pPr>
              <w:pStyle w:val="Compact"/>
              <w:jc w:val="left"/>
            </w:pPr>
            <w:r>
              <w:t xml:space="preserve">Month 25</w:t>
            </w:r>
          </w:p>
        </w:tc>
      </w:tr>
      <w:tr>
        <w:tc>
          <w:tcPr/>
          <w:p>
            <w:pPr>
              <w:pStyle w:val="Compact"/>
              <w:jc w:val="left"/>
            </w:pPr>
            <w:r>
              <w:t xml:space="preserve">Final Deliverables &amp; Project Closure</w:t>
            </w:r>
          </w:p>
        </w:tc>
        <w:tc>
          <w:tcPr/>
          <w:p>
            <w:pPr>
              <w:pStyle w:val="Compact"/>
              <w:jc w:val="left"/>
            </w:pPr>
            <w:r>
              <w:t xml:space="preserve">5%</w:t>
            </w:r>
          </w:p>
        </w:tc>
        <w:tc>
          <w:tcPr/>
          <w:p>
            <w:pPr>
              <w:pStyle w:val="Compact"/>
              <w:jc w:val="left"/>
            </w:pPr>
            <w:r>
              <w:t xml:space="preserve">3,084,875</w:t>
            </w:r>
          </w:p>
        </w:tc>
        <w:tc>
          <w:tcPr/>
          <w:p>
            <w:pPr>
              <w:pStyle w:val="Compact"/>
              <w:jc w:val="left"/>
            </w:pPr>
            <w:r>
              <w:t xml:space="preserve">Month 26</w:t>
            </w:r>
          </w:p>
        </w:tc>
      </w:tr>
    </w:tbl>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based on prevailing market conditions in</w:t>
      </w:r>
      <w:r>
        <w:t xml:space="preserve"> </w:t>
      </w:r>
      <w:r>
        <w:t xml:space="preserve">Bangladesh Dhaka</w:t>
      </w:r>
      <w:r>
        <w:t xml:space="preserve">.</w:t>
      </w:r>
    </w:p>
    <w:p>
      <w:pPr>
        <w:numPr>
          <w:ilvl w:val="0"/>
          <w:numId w:val="1002"/>
        </w:numPr>
        <w:pStyle w:val="Compact"/>
      </w:pPr>
      <w:r>
        <w:t xml:space="preserve">The</w:t>
      </w:r>
      <w:r>
        <w:t xml:space="preserve"> </w:t>
      </w:r>
      <w:r>
        <w:t xml:space="preserve">Medical Researcher</w:t>
      </w:r>
      <w:r>
        <w:t xml:space="preserve"> </w:t>
      </w:r>
      <w:r>
        <w:t xml:space="preserve">shall adhere to all ethical guidelines set forth by the Bangladesh Medical and Dental Council, the National Research Ethics Committee (NREC), and the Declaration of Helsinki.</w:t>
      </w:r>
    </w:p>
    <w:p>
      <w:pPr>
        <w:numPr>
          <w:ilvl w:val="0"/>
          <w:numId w:val="1002"/>
        </w:numPr>
        <w:pStyle w:val="Compact"/>
      </w:pPr>
      <w:r>
        <w:t xml:space="preserve">All data collected during the research engagement shall be stored on encrypted servers physically located within</w:t>
      </w:r>
      <w:r>
        <w:t xml:space="preserve"> </w:t>
      </w:r>
      <w:r>
        <w:t xml:space="preserve">Bangladesh Dhaka</w:t>
      </w:r>
      <w:r>
        <w:t xml:space="preserve"> </w:t>
      </w:r>
      <w:r>
        <w:t xml:space="preserve">in compliance with the Digital Security Act 2018 of Bangladesh.</w:t>
      </w:r>
    </w:p>
    <w:p>
      <w:pPr>
        <w:numPr>
          <w:ilvl w:val="0"/>
          <w:numId w:val="1002"/>
        </w:numPr>
        <w:pStyle w:val="Compact"/>
      </w:pPr>
      <w:r>
        <w:t xml:space="preserve">Payment shall be made via bank transfer to the designated account of Dhaka Biomedical Research &amp; Consulting Ltd., Bank Asia, Banani Branch, Dhaka. A 1.5% late penalty shall apply to overdue invoices.</w:t>
      </w:r>
    </w:p>
    <w:p>
      <w:pPr>
        <w:numPr>
          <w:ilvl w:val="0"/>
          <w:numId w:val="1002"/>
        </w:numPr>
        <w:pStyle w:val="Compact"/>
      </w:pPr>
      <w:r>
        <w:t xml:space="preserve">Either party may terminate this engagement with a written notice of thirty (30) days. In the event of early termination, a pro-rata refund of unutilized funds shall be processed within fifteen (15) business days.</w:t>
      </w:r>
    </w:p>
    <w:p>
      <w:pPr>
        <w:numPr>
          <w:ilvl w:val="0"/>
          <w:numId w:val="1002"/>
        </w:numPr>
        <w:pStyle w:val="Compact"/>
      </w:pPr>
      <w:r>
        <w:t xml:space="preserve">Intellectual property rights arising from the research shall be jointly owned by the sponsoring institution and the</w:t>
      </w:r>
      <w:r>
        <w:t xml:space="preserve"> </w:t>
      </w:r>
      <w:r>
        <w:t xml:space="preserve">Medical Researcher</w:t>
      </w:r>
      <w:r>
        <w:t xml:space="preserve">, as detailed in a separate IP Addendum to be executed at the time of contract signing.</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the advance payment is received in full.</w:t>
      </w:r>
    </w:p>
    <w:p>
      <w:pPr>
        <w:numPr>
          <w:ilvl w:val="0"/>
          <w:numId w:val="1002"/>
        </w:numPr>
        <w:pStyle w:val="Compact"/>
      </w:pPr>
      <w:r>
        <w:t xml:space="preserve">All disputes arising from this engagement shall be resolved through arbitration in</w:t>
      </w:r>
      <w:r>
        <w:t xml:space="preserve"> </w:t>
      </w:r>
      <w:r>
        <w:t xml:space="preserve">Bangladesh Dhaka</w:t>
      </w:r>
      <w:r>
        <w:t xml:space="preserve"> </w:t>
      </w:r>
      <w:r>
        <w:t xml:space="preserve">in accordance with the Arbitration Act 2001 of Bangladesh.</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financial obligations outlined in this</w:t>
      </w:r>
      <w:r>
        <w:t xml:space="preserve"> </w:t>
      </w:r>
      <w:r>
        <w:t xml:space="preserve">Quotation Estimate</w:t>
      </w:r>
      <w:r>
        <w:t xml:space="preserve"> </w:t>
      </w:r>
      <w:r>
        <w:t xml:space="preserve">for the</w:t>
      </w:r>
      <w:r>
        <w:t xml:space="preserve"> </w:t>
      </w:r>
      <w:r>
        <w:t xml:space="preserve">Medical Researcher</w:t>
      </w:r>
      <w:r>
        <w:t xml:space="preserve"> </w:t>
      </w:r>
      <w:r>
        <w:t xml:space="preserve">engagement in</w:t>
      </w:r>
      <w:r>
        <w:t xml:space="preserve"> </w:t>
      </w:r>
      <w:r>
        <w:t xml:space="preserve">Bangladesh Dhaka</w:t>
      </w:r>
      <w:r>
        <w:t xml:space="preserve">.</w:t>
      </w:r>
    </w:p>
    <w:p>
      <w:pPr>
        <w:pStyle w:val="BodyText"/>
      </w:pPr>
      <w:r>
        <w:rPr>
          <w:bCs/>
          <w:b/>
        </w:rPr>
        <w:t xml:space="preserve">For &amp; On Behalf of:</w:t>
      </w:r>
      <w:r>
        <w:br/>
      </w:r>
      <w:r>
        <w:t xml:space="preserve">Dhaka Biomedical Research &amp; Consulting Ltd.</w:t>
      </w:r>
      <w:r>
        <w:br/>
      </w:r>
      <w:r>
        <w:t xml:space="preserve">Name: ___________________________</w:t>
      </w:r>
      <w:r>
        <w:br/>
      </w:r>
      <w:r>
        <w:t xml:space="preserve">Designation: Managing Director</w:t>
      </w:r>
      <w:r>
        <w:br/>
      </w:r>
      <w:r>
        <w:t xml:space="preserve">Date: ___________________________</w:t>
      </w:r>
    </w:p>
    <w:p>
      <w:pPr>
        <w:pStyle w:val="BodyText"/>
      </w:pPr>
      <w:r>
        <w:rPr>
          <w:bCs/>
          <w:b/>
        </w:rPr>
        <w:t xml:space="preserve">For &amp; On Behalf of:</w:t>
      </w:r>
      <w:r>
        <w:br/>
      </w:r>
      <w:r>
        <w:t xml:space="preserve">Bangladesh Institute of Medical Research (BIMR)</w:t>
      </w:r>
      <w:r>
        <w:br/>
      </w:r>
      <w:r>
        <w:t xml:space="preserve">Name: ___________________________</w:t>
      </w:r>
      <w:r>
        <w:br/>
      </w:r>
      <w:r>
        <w:t xml:space="preserve">Designation: Director General</w:t>
      </w:r>
      <w:r>
        <w:br/>
      </w:r>
      <w:r>
        <w:t xml:space="preserve">Date: ___________________________</w:t>
      </w:r>
    </w:p>
    <w:p>
      <w:pPr>
        <w:pStyle w:val="BodyText"/>
      </w:pPr>
      <w:r>
        <w:t xml:space="preserve">This Quotation Estimate (Ref: QTE-2025-BD-00472) is the property of Dhaka Biomedical Research &amp; Consulting Ltd. and is intended solely for the use of the addressee. Unauthorized reproduction or distribution is prohibited. For queries regarding this Quotation Estimate, please contact our office at Banani, Bangladesh Dhaka during business hours (Saturday to Thursday, 9:00 AM – 5:00 PM BST).</w:t>
      </w:r>
    </w:p>
    <w:p>
      <w:pPr>
        <w:pStyle w:val="BodyText"/>
      </w:pPr>
      <w:r>
        <w:t xml:space="preserve">© 2025 Dhaka Biomedical Research &amp; Consulting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Bangladesh Dhaka</dc:title>
  <dc:creator/>
  <dc:language>en</dc:language>
  <cp:keywords/>
  <dcterms:created xsi:type="dcterms:W3CDTF">2026-10-10T04:22:41Z</dcterms:created>
  <dcterms:modified xsi:type="dcterms:W3CDTF">2026-10-10T04:22:41Z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