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Specialized Research &amp; Clinical Studies Division</w:t>
      </w:r>
    </w:p>
    <w:p>
      <w:pPr>
        <w:pStyle w:val="BodyText"/>
      </w:pPr>
      <w:r>
        <w:t xml:space="preserve">Rua da Assembleia, 1200 - Centro, Rio de Janeiro, RJ - CEP 20011-904 - Brazil</w:t>
      </w:r>
    </w:p>
    <w:p>
      <w:pPr>
        <w:pStyle w:val="BodyText"/>
      </w:pPr>
      <w:r>
        <w:t xml:space="preserve">Tel: +55 (21) 3456-7890 | Email: quotations@medresearch-rio.com.br</w:t>
      </w:r>
    </w:p>
    <w:p>
      <w:pPr>
        <w:pStyle w:val="BodyText"/>
      </w:pPr>
      <w:r>
        <w:t xml:space="preserve">Document Reference: QE-MR-RJ-2025-0472</w:t>
      </w:r>
    </w:p>
    <w:bookmarkEnd w:id="20"/>
    <w:p>
      <w:pPr>
        <w:pStyle w:val="BodyText"/>
      </w:pPr>
      <w:r>
        <w:rPr>
          <w:bCs/>
          <w:b/>
        </w:rPr>
        <w:t xml:space="preserve">Quotation Date:</w:t>
      </w:r>
      <w:r>
        <w:t xml:space="preserve"> </w:t>
      </w:r>
      <w:r>
        <w:t xml:space="preserve">15 June 2025</w:t>
      </w:r>
    </w:p>
    <w:p>
      <w:pPr>
        <w:pStyle w:val="BodyText"/>
      </w:pPr>
      <w:r>
        <w:rPr>
          <w:bCs/>
          <w:b/>
        </w:rPr>
        <w:t xml:space="preserve">Validity Period:</w:t>
      </w:r>
      <w:r>
        <w:t xml:space="preserve"> </w:t>
      </w:r>
      <w:r>
        <w:t xml:space="preserve">30 days (until 15 July 2025)</w:t>
      </w:r>
    </w:p>
    <w:p>
      <w:pPr>
        <w:pStyle w:val="BodyText"/>
      </w:pPr>
      <w:r>
        <w:rPr>
          <w:bCs/>
          <w:b/>
        </w:rPr>
        <w:t xml:space="preserve">Service Location:</w:t>
      </w:r>
      <w:r>
        <w:t xml:space="preserve"> </w:t>
      </w:r>
      <w:r>
        <w:t xml:space="preserve">Brazil Rio de Janeiro</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Instituto de Pesquisa Clínica do Rio de Janeiro Ltda.</w:t>
            </w:r>
          </w:p>
        </w:tc>
        <w:tc>
          <w:tcPr/>
          <w:p>
            <w:pPr>
              <w:pStyle w:val="Compact"/>
              <w:jc w:val="left"/>
            </w:pPr>
            <w:r>
              <w:rPr>
                <w:bCs/>
                <w:b/>
              </w:rPr>
              <w:t xml:space="preserve">CNPJ:</w:t>
            </w:r>
            <w:r>
              <w:t xml:space="preserve"> </w:t>
            </w:r>
            <w:r>
              <w:t xml:space="preserve">12.345.678/0001-90</w:t>
            </w:r>
          </w:p>
        </w:tc>
      </w:tr>
      <w:tr>
        <w:tc>
          <w:tcPr/>
          <w:p>
            <w:pPr>
              <w:pStyle w:val="Compact"/>
              <w:jc w:val="left"/>
            </w:pPr>
            <w:r>
              <w:rPr>
                <w:bCs/>
                <w:b/>
              </w:rPr>
              <w:t xml:space="preserve">Contact Person:</w:t>
            </w:r>
            <w:r>
              <w:t xml:space="preserve"> </w:t>
            </w:r>
            <w:r>
              <w:t xml:space="preserve">Dr. Helena Vasconcelos, Director of Research</w:t>
            </w:r>
          </w:p>
        </w:tc>
        <w:tc>
          <w:tcPr/>
          <w:p>
            <w:pPr>
              <w:pStyle w:val="Compact"/>
              <w:jc w:val="left"/>
            </w:pPr>
            <w:r>
              <w:rPr>
                <w:bCs/>
                <w:b/>
              </w:rPr>
              <w:t xml:space="preserve">Email:</w:t>
            </w:r>
            <w:r>
              <w:t xml:space="preserve"> </w:t>
            </w:r>
            <w:r>
              <w:t xml:space="preserve">h.vasconcelos@ipcrio.com.br</w:t>
            </w:r>
          </w:p>
        </w:tc>
      </w:tr>
      <w:tr>
        <w:tc>
          <w:tcPr/>
          <w:p>
            <w:pPr>
              <w:pStyle w:val="Compact"/>
              <w:jc w:val="left"/>
            </w:pPr>
            <w:r>
              <w:rPr>
                <w:bCs/>
                <w:b/>
              </w:rPr>
              <w:t xml:space="preserve">Address:</w:t>
            </w:r>
            <w:r>
              <w:t xml:space="preserve"> </w:t>
            </w:r>
            <w:r>
              <w:t xml:space="preserve">Av. Atlântica, 3000 - Copacabana, Rio de Janeiro, RJ - Brazil</w:t>
            </w:r>
          </w:p>
        </w:tc>
        <w:tc>
          <w:tcPr/>
          <w:p>
            <w:pPr>
              <w:pStyle w:val="Compact"/>
              <w:jc w:val="left"/>
            </w:pPr>
            <w:r>
              <w:rPr>
                <w:bCs/>
                <w:b/>
              </w:rPr>
              <w:t xml:space="preserve">Phone:</w:t>
            </w:r>
            <w:r>
              <w:t xml:space="preserve"> </w:t>
            </w:r>
            <w:r>
              <w:t xml:space="preserve">+55 (21) 99876-5432</w:t>
            </w:r>
          </w:p>
        </w:tc>
      </w:tr>
    </w:tbl>
    <w:bookmarkEnd w:id="21"/>
    <w:bookmarkStart w:id="22" w:name="Xb1e69cda2657fb3522d5f06f68500be55311324"/>
    <w:p>
      <w:pPr>
        <w:pStyle w:val="Heading2"/>
      </w:pPr>
      <w:r>
        <w:t xml:space="preserve">2. Scope of Services – Medical Researcher Engagement</w:t>
      </w:r>
    </w:p>
    <w:p>
      <w:pPr>
        <w:pStyle w:val="FirstParagraph"/>
      </w:pPr>
      <w:r>
        <w:t xml:space="preserve">This</w:t>
      </w:r>
      <w:r>
        <w:t xml:space="preserve"> </w:t>
      </w:r>
      <w:r>
        <w:t xml:space="preserve">Quotation Estimate</w:t>
      </w:r>
      <w:r>
        <w:t xml:space="preserve"> </w:t>
      </w:r>
      <w:r>
        <w:t xml:space="preserve">is issued in response to the formal request submitted by the client for the engagement of a qualified</w:t>
      </w:r>
      <w:r>
        <w:t xml:space="preserve"> </w:t>
      </w:r>
      <w:r>
        <w:t xml:space="preserve">Medical Researcher</w:t>
      </w:r>
      <w:r>
        <w:t xml:space="preserve"> </w:t>
      </w:r>
      <w:r>
        <w:t xml:space="preserve">to conduct comprehensive clinical and epidemiological research activities within the metropolitan area of</w:t>
      </w:r>
      <w:r>
        <w:t xml:space="preserve"> </w:t>
      </w:r>
      <w:r>
        <w:t xml:space="preserve">Brazil Rio de Janeiro</w:t>
      </w:r>
      <w:r>
        <w:t xml:space="preserve">. The scope encompasses the design, execution, data collection, statistical analysis, and final reporting of a multi-center observational study focused on cardiovascular risk factors among the urban population of Rio de Janeiro. The</w:t>
      </w:r>
      <w:r>
        <w:t xml:space="preserve"> </w:t>
      </w:r>
      <w:r>
        <w:t xml:space="preserve">Medical Researcher</w:t>
      </w:r>
      <w:r>
        <w:t xml:space="preserve"> </w:t>
      </w:r>
      <w:r>
        <w:t xml:space="preserve">will operate under the supervision of the client's principal investigator and will be based at the designated research facility located in the Centro district of</w:t>
      </w:r>
      <w:r>
        <w:t xml:space="preserve"> </w:t>
      </w:r>
      <w:r>
        <w:t xml:space="preserve">Brazil Rio de Janeiro</w:t>
      </w:r>
      <w:r>
        <w:t xml:space="preserve">.</w:t>
      </w:r>
    </w:p>
    <w:p>
      <w:pPr>
        <w:pStyle w:val="BodyText"/>
      </w:pPr>
      <w:r>
        <w:t xml:space="preserve">The</w:t>
      </w:r>
      <w:r>
        <w:t xml:space="preserve"> </w:t>
      </w:r>
      <w:r>
        <w:t xml:space="preserve">Medical Researcher</w:t>
      </w:r>
      <w:r>
        <w:t xml:space="preserve"> </w:t>
      </w:r>
      <w:r>
        <w:t xml:space="preserve">will be responsible for coordinating fieldwork across a minimum of four (4) public health units in the municipalities of Rio de Janeiro, including but not limited to the zones of Zona Sul, Zona Norte, Zona Oeste, and Centro. All research protocols will comply with the regulations established by the Brazilian National Health Council (Conselho Nacional de Saúde - CNS) and the local ethics committee (Comitê de Ética em Pesquisa - CEP) of the Federal University of Rio de Janeiro (UFRJ).</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w:t>
            </w:r>
            <w:r>
              <w:t xml:space="preserve"> </w:t>
            </w:r>
            <w:r>
              <w:t xml:space="preserve">Medical Researcher</w:t>
            </w:r>
            <w:r>
              <w:t xml:space="preserve"> </w:t>
            </w:r>
            <w:r>
              <w:t xml:space="preserve">– Monthly Professional Fee (PhD in Clinical Medicine, 12+ years experience)</w:t>
            </w:r>
          </w:p>
        </w:tc>
        <w:tc>
          <w:tcPr/>
          <w:p>
            <w:pPr>
              <w:pStyle w:val="Compact"/>
              <w:jc w:val="left"/>
            </w:pPr>
            <w:r>
              <w:t xml:space="preserve">6 months</w:t>
            </w:r>
          </w:p>
        </w:tc>
        <w:tc>
          <w:tcPr/>
          <w:p>
            <w:pPr>
              <w:pStyle w:val="Compact"/>
              <w:jc w:val="left"/>
            </w:pPr>
            <w:r>
              <w:t xml:space="preserve">R$ 28,500.00</w:t>
            </w:r>
          </w:p>
        </w:tc>
        <w:tc>
          <w:tcPr/>
          <w:p>
            <w:pPr>
              <w:pStyle w:val="Compact"/>
              <w:jc w:val="left"/>
            </w:pPr>
            <w:r>
              <w:t xml:space="preserve">R$ 171,000.00</w:t>
            </w:r>
          </w:p>
        </w:tc>
      </w:tr>
      <w:tr>
        <w:tc>
          <w:tcPr/>
          <w:p>
            <w:pPr>
              <w:pStyle w:val="Compact"/>
              <w:jc w:val="left"/>
            </w:pPr>
            <w:r>
              <w:t xml:space="preserve">02</w:t>
            </w:r>
          </w:p>
        </w:tc>
        <w:tc>
          <w:tcPr/>
          <w:p>
            <w:pPr>
              <w:pStyle w:val="Compact"/>
              <w:jc w:val="left"/>
            </w:pPr>
            <w:r>
              <w:t xml:space="preserve">Research Assistant (2 professionals) – Monthly Fee</w:t>
            </w:r>
          </w:p>
        </w:tc>
        <w:tc>
          <w:tcPr/>
          <w:p>
            <w:pPr>
              <w:pStyle w:val="Compact"/>
              <w:jc w:val="left"/>
            </w:pPr>
            <w:r>
              <w:t xml:space="preserve">6 months</w:t>
            </w:r>
          </w:p>
        </w:tc>
        <w:tc>
          <w:tcPr/>
          <w:p>
            <w:pPr>
              <w:pStyle w:val="Compact"/>
              <w:jc w:val="left"/>
            </w:pPr>
            <w:r>
              <w:t xml:space="preserve">R$ 9,200.00 each</w:t>
            </w:r>
          </w:p>
        </w:tc>
        <w:tc>
          <w:tcPr/>
          <w:p>
            <w:pPr>
              <w:pStyle w:val="Compact"/>
              <w:jc w:val="left"/>
            </w:pPr>
            <w:r>
              <w:t xml:space="preserve">R$ 110,400.00</w:t>
            </w:r>
          </w:p>
        </w:tc>
      </w:tr>
      <w:tr>
        <w:tc>
          <w:tcPr/>
          <w:p>
            <w:pPr>
              <w:pStyle w:val="Compact"/>
              <w:jc w:val="left"/>
            </w:pPr>
            <w:r>
              <w:t xml:space="preserve">03</w:t>
            </w:r>
          </w:p>
        </w:tc>
        <w:tc>
          <w:tcPr/>
          <w:p>
            <w:pPr>
              <w:pStyle w:val="Compact"/>
              <w:jc w:val="left"/>
            </w:pPr>
            <w:r>
              <w:t xml:space="preserve">Statistical Analyst – Monthly Fee (Biostatistics specialization)</w:t>
            </w:r>
          </w:p>
        </w:tc>
        <w:tc>
          <w:tcPr/>
          <w:p>
            <w:pPr>
              <w:pStyle w:val="Compact"/>
              <w:jc w:val="left"/>
            </w:pPr>
            <w:r>
              <w:t xml:space="preserve">6 months</w:t>
            </w:r>
          </w:p>
        </w:tc>
        <w:tc>
          <w:tcPr/>
          <w:p>
            <w:pPr>
              <w:pStyle w:val="Compact"/>
              <w:jc w:val="left"/>
            </w:pPr>
            <w:r>
              <w:t xml:space="preserve">R$ 14,800.00</w:t>
            </w:r>
          </w:p>
        </w:tc>
        <w:tc>
          <w:tcPr/>
          <w:p>
            <w:pPr>
              <w:pStyle w:val="Compact"/>
              <w:jc w:val="left"/>
            </w:pPr>
            <w:r>
              <w:t xml:space="preserve">R$ 88,800.00</w:t>
            </w:r>
          </w:p>
        </w:tc>
      </w:tr>
      <w:tr>
        <w:tc>
          <w:tcPr/>
          <w:p>
            <w:pPr>
              <w:pStyle w:val="Compact"/>
              <w:jc w:val="left"/>
            </w:pPr>
            <w:r>
              <w:t xml:space="preserve">04</w:t>
            </w:r>
          </w:p>
        </w:tc>
        <w:tc>
          <w:tcPr/>
          <w:p>
            <w:pPr>
              <w:pStyle w:val="Compact"/>
              <w:jc w:val="left"/>
            </w:pPr>
            <w:r>
              <w:t xml:space="preserve">Laboratory Consumables &amp; Diagnostic Kits (Cardiovascular Panel)</w:t>
            </w:r>
          </w:p>
        </w:tc>
        <w:tc>
          <w:tcPr/>
          <w:p>
            <w:pPr>
              <w:pStyle w:val="Compact"/>
              <w:jc w:val="left"/>
            </w:pPr>
            <w:r>
              <w:t xml:space="preserve">One-time</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05</w:t>
            </w:r>
          </w:p>
        </w:tc>
        <w:tc>
          <w:tcPr/>
          <w:p>
            <w:pPr>
              <w:pStyle w:val="Compact"/>
              <w:jc w:val="left"/>
            </w:pPr>
            <w:r>
              <w:t xml:space="preserve">Fieldwork Transportation &amp; Logistics within</w:t>
            </w:r>
            <w:r>
              <w:t xml:space="preserve"> </w:t>
            </w:r>
            <w:r>
              <w:t xml:space="preserve">Brazil Rio de Janeiro</w:t>
            </w:r>
          </w:p>
        </w:tc>
        <w:tc>
          <w:tcPr/>
          <w:p>
            <w:pPr>
              <w:pStyle w:val="Compact"/>
              <w:jc w:val="left"/>
            </w:pPr>
            <w:r>
              <w:t xml:space="preserve">6 months</w:t>
            </w:r>
          </w:p>
        </w:tc>
        <w:tc>
          <w:tcPr/>
          <w:p>
            <w:pPr>
              <w:pStyle w:val="Compact"/>
              <w:jc w:val="left"/>
            </w:pPr>
            <w:r>
              <w:t xml:space="preserve">R$ 6,500.00</w:t>
            </w:r>
          </w:p>
        </w:tc>
        <w:tc>
          <w:tcPr/>
          <w:p>
            <w:pPr>
              <w:pStyle w:val="Compact"/>
              <w:jc w:val="left"/>
            </w:pPr>
            <w:r>
              <w:t xml:space="preserve">R$ 39,000.00</w:t>
            </w:r>
          </w:p>
        </w:tc>
      </w:tr>
      <w:tr>
        <w:tc>
          <w:tcPr/>
          <w:p>
            <w:pPr>
              <w:pStyle w:val="Compact"/>
              <w:jc w:val="left"/>
            </w:pPr>
            <w:r>
              <w:t xml:space="preserve">06</w:t>
            </w:r>
          </w:p>
        </w:tc>
        <w:tc>
          <w:tcPr/>
          <w:p>
            <w:pPr>
              <w:pStyle w:val="Compact"/>
              <w:jc w:val="left"/>
            </w:pPr>
            <w:r>
              <w:t xml:space="preserve">Ethics Committee (CEP) Registration &amp; Regulatory Filing Fees</w:t>
            </w:r>
          </w:p>
        </w:tc>
        <w:tc>
          <w:tcPr/>
          <w:p>
            <w:pPr>
              <w:pStyle w:val="Compact"/>
              <w:jc w:val="left"/>
            </w:pPr>
            <w:r>
              <w:t xml:space="preserve">One-time</w:t>
            </w:r>
          </w:p>
        </w:tc>
        <w:tc>
          <w:tcPr/>
          <w:p>
            <w:pPr>
              <w:pStyle w:val="Compact"/>
              <w:jc w:val="left"/>
            </w:pPr>
            <w:r>
              <w:t xml:space="preserve">R$ 8,750.00</w:t>
            </w:r>
          </w:p>
        </w:tc>
        <w:tc>
          <w:tcPr/>
          <w:p>
            <w:pPr>
              <w:pStyle w:val="Compact"/>
              <w:jc w:val="left"/>
            </w:pPr>
            <w:r>
              <w:t xml:space="preserve">R$ 8,750.00</w:t>
            </w:r>
          </w:p>
        </w:tc>
      </w:tr>
      <w:tr>
        <w:tc>
          <w:tcPr/>
          <w:p>
            <w:pPr>
              <w:pStyle w:val="Compact"/>
              <w:jc w:val="left"/>
            </w:pPr>
            <w:r>
              <w:t xml:space="preserve">07</w:t>
            </w:r>
          </w:p>
        </w:tc>
        <w:tc>
          <w:tcPr/>
          <w:p>
            <w:pPr>
              <w:pStyle w:val="Compact"/>
              <w:jc w:val="left"/>
            </w:pPr>
            <w:r>
              <w:t xml:space="preserve">Data Management Software License (REDCap / SPSS) – Annual</w:t>
            </w:r>
          </w:p>
        </w:tc>
        <w:tc>
          <w:tcPr/>
          <w:p>
            <w:pPr>
              <w:pStyle w:val="Compact"/>
              <w:jc w:val="left"/>
            </w:pPr>
            <w:r>
              <w:t xml:space="preserve">1 year</w:t>
            </w:r>
          </w:p>
        </w:tc>
        <w:tc>
          <w:tcPr/>
          <w:p>
            <w:pPr>
              <w:pStyle w:val="Compact"/>
              <w:jc w:val="left"/>
            </w:pPr>
            <w:r>
              <w:t xml:space="preserve">R$ 12,300.00</w:t>
            </w:r>
          </w:p>
        </w:tc>
        <w:tc>
          <w:tcPr/>
          <w:p>
            <w:pPr>
              <w:pStyle w:val="Compact"/>
              <w:jc w:val="left"/>
            </w:pPr>
            <w:r>
              <w:t xml:space="preserve">R$ 12,300.00</w:t>
            </w:r>
          </w:p>
        </w:tc>
      </w:tr>
      <w:tr>
        <w:tc>
          <w:tcPr/>
          <w:p>
            <w:pPr>
              <w:pStyle w:val="Compact"/>
              <w:jc w:val="left"/>
            </w:pPr>
            <w:r>
              <w:t xml:space="preserve">08</w:t>
            </w:r>
          </w:p>
        </w:tc>
        <w:tc>
          <w:tcPr/>
          <w:p>
            <w:pPr>
              <w:pStyle w:val="Compact"/>
              <w:jc w:val="left"/>
            </w:pPr>
            <w:r>
              <w:t xml:space="preserve">Publication Support &amp; Peer-Review Journal Submission Fees</w:t>
            </w:r>
          </w:p>
        </w:tc>
        <w:tc>
          <w:tcPr/>
          <w:p>
            <w:pPr>
              <w:pStyle w:val="Compact"/>
              <w:jc w:val="left"/>
            </w:pPr>
            <w:r>
              <w:t xml:space="preserve">One-time</w:t>
            </w:r>
          </w:p>
        </w:tc>
        <w:tc>
          <w:tcPr/>
          <w:p>
            <w:pPr>
              <w:pStyle w:val="Compact"/>
              <w:jc w:val="left"/>
            </w:pPr>
            <w:r>
              <w:t xml:space="preserve">R$ 15,000.00</w:t>
            </w:r>
          </w:p>
        </w:tc>
        <w:tc>
          <w:tcPr/>
          <w:p>
            <w:pPr>
              <w:pStyle w:val="Compact"/>
              <w:jc w:val="left"/>
            </w:pPr>
            <w:r>
              <w:t xml:space="preserve">R$ 15,000.00</w:t>
            </w:r>
          </w:p>
        </w:tc>
      </w:tr>
      <w:tr>
        <w:tc>
          <w:tcPr/>
          <w:p>
            <w:pPr>
              <w:pStyle w:val="Compact"/>
              <w:jc w:val="left"/>
            </w:pPr>
            <w:r>
              <w:t xml:space="preserve">09</w:t>
            </w:r>
          </w:p>
        </w:tc>
        <w:tc>
          <w:tcPr/>
          <w:p>
            <w:pPr>
              <w:pStyle w:val="Compact"/>
              <w:jc w:val="left"/>
            </w:pPr>
            <w:r>
              <w:t xml:space="preserve">Project Management &amp; Administrative Oversight</w:t>
            </w:r>
          </w:p>
        </w:tc>
        <w:tc>
          <w:tcPr/>
          <w:p>
            <w:pPr>
              <w:pStyle w:val="Compact"/>
              <w:jc w:val="left"/>
            </w:pPr>
            <w:r>
              <w:t xml:space="preserve">6 months</w:t>
            </w:r>
          </w:p>
        </w:tc>
        <w:tc>
          <w:tcPr/>
          <w:p>
            <w:pPr>
              <w:pStyle w:val="Compact"/>
              <w:jc w:val="left"/>
            </w:pPr>
            <w:r>
              <w:t xml:space="preserve">R$ 7,200.00</w:t>
            </w:r>
          </w:p>
        </w:tc>
        <w:tc>
          <w:tcPr/>
          <w:p>
            <w:pPr>
              <w:pStyle w:val="Compact"/>
              <w:jc w:val="left"/>
            </w:pPr>
            <w:r>
              <w:t xml:space="preserve">R$ 43,200.00</w:t>
            </w:r>
          </w:p>
        </w:tc>
      </w:tr>
      <w:tr>
        <w:tc>
          <w:tcPr/>
          <w:p>
            <w:pPr>
              <w:pStyle w:val="Compact"/>
              <w:jc w:val="left"/>
            </w:pPr>
            <w:r>
              <w:t xml:space="preserve">10</w:t>
            </w:r>
          </w:p>
        </w:tc>
        <w:tc>
          <w:tcPr/>
          <w:p>
            <w:pPr>
              <w:pStyle w:val="Compact"/>
              <w:jc w:val="left"/>
            </w:pPr>
            <w:r>
              <w:t xml:space="preserve">Contingency Reserve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R$ 20,917.50</w:t>
            </w:r>
          </w:p>
        </w:tc>
      </w:tr>
      <w:tr>
        <w:tc>
          <w:tcPr>
            <w:gridSpan w:val="4"/>
          </w:tcPr>
          <w:p>
            <w:pPr>
              <w:pStyle w:val="Compact"/>
              <w:jc w:val="left"/>
            </w:pPr>
            <w:r>
              <w:t xml:space="preserve">GRAND TOTAL (before taxes)</w:t>
            </w:r>
          </w:p>
        </w:tc>
        <w:tc>
          <w:tcPr/>
          <w:p>
            <w:pPr>
              <w:pStyle w:val="Compact"/>
              <w:jc w:val="left"/>
            </w:pPr>
            <w:r>
              <w:t xml:space="preserve">R$ 554,367.50</w:t>
            </w:r>
          </w:p>
        </w:tc>
      </w:tr>
      <w:tr>
        <w:tc>
          <w:tcPr>
            <w:gridSpan w:val="4"/>
          </w:tcPr>
          <w:p>
            <w:pPr>
              <w:pStyle w:val="Compact"/>
              <w:jc w:val="left"/>
            </w:pPr>
            <w:r>
              <w:t xml:space="preserve">Applicable Taxes (ISS 5% + PIS/COFINS 3.65%)</w:t>
            </w:r>
          </w:p>
        </w:tc>
        <w:tc>
          <w:tcPr/>
          <w:p>
            <w:pPr>
              <w:pStyle w:val="Compact"/>
              <w:jc w:val="left"/>
            </w:pPr>
            <w:r>
              <w:t xml:space="preserve">R$ 46,161.03</w:t>
            </w:r>
          </w:p>
        </w:tc>
      </w:tr>
      <w:tr>
        <w:tc>
          <w:tcPr>
            <w:gridSpan w:val="4"/>
          </w:tcPr>
          <w:p>
            <w:pPr>
              <w:pStyle w:val="Compact"/>
              <w:jc w:val="left"/>
            </w:pPr>
            <w:r>
              <w:t xml:space="preserve">FINAL TOTAL (BRL)</w:t>
            </w:r>
          </w:p>
        </w:tc>
        <w:tc>
          <w:tcPr/>
          <w:p>
            <w:pPr>
              <w:pStyle w:val="Compact"/>
              <w:jc w:val="left"/>
            </w:pPr>
            <w:r>
              <w:t xml:space="preserve">R$ 600,528.53</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six (6) equal monthly installments of R$ 100,088.09, due on the 5th business day of each month, commencing from the month following the formal acceptance of this document. Payments shall be processed via bank transfer (TED/PIX) to the account designated by the service provider. A 2% monthly interest penalty will apply to any overdue installment, in accordance with Brazilian commercial law (Código Civil, Art. 412).</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all pricing and availability terms are subject to revision.</w:t>
      </w:r>
    </w:p>
    <w:p>
      <w:pPr>
        <w:numPr>
          <w:ilvl w:val="0"/>
          <w:numId w:val="1001"/>
        </w:numPr>
        <w:pStyle w:val="Compact"/>
      </w:pPr>
      <w:r>
        <w:t xml:space="preserve">The</w:t>
      </w:r>
      <w:r>
        <w:t xml:space="preserve"> </w:t>
      </w:r>
      <w:r>
        <w:t xml:space="preserve">Medical Researcher</w:t>
      </w:r>
      <w:r>
        <w:t xml:space="preserve"> </w:t>
      </w:r>
      <w:r>
        <w:t xml:space="preserve">and all supporting personnel shall be bound by a strict Non-Disclosure Agreement (NDA) and a Data Protection Agreement in compliance with the Brazilian General Data Protection Law (LGPD – Lei nº 13.709/2018).</w:t>
      </w:r>
    </w:p>
    <w:p>
      <w:pPr>
        <w:numPr>
          <w:ilvl w:val="0"/>
          <w:numId w:val="1001"/>
        </w:numPr>
        <w:pStyle w:val="Compact"/>
      </w:pPr>
      <w:r>
        <w:t xml:space="preserve">All research activities will be conducted exclusively within the jurisdiction of</w:t>
      </w:r>
      <w:r>
        <w:t xml:space="preserve"> </w:t>
      </w:r>
      <w:r>
        <w:t xml:space="preserve">Brazil Rio de Janeiro</w:t>
      </w:r>
      <w:r>
        <w:t xml:space="preserve">, unless prior written authorization is granted by the client for fieldwork in neighboring municipalities.</w:t>
      </w:r>
    </w:p>
    <w:p>
      <w:pPr>
        <w:numPr>
          <w:ilvl w:val="0"/>
          <w:numId w:val="1001"/>
        </w:numPr>
        <w:pStyle w:val="Compact"/>
      </w:pPr>
      <w:r>
        <w:t xml:space="preserve">The</w:t>
      </w:r>
      <w:r>
        <w:t xml:space="preserve"> </w:t>
      </w:r>
      <w:r>
        <w:t xml:space="preserve">Medical Researcher</w:t>
      </w:r>
      <w:r>
        <w:t xml:space="preserve"> </w:t>
      </w:r>
      <w:r>
        <w:t xml:space="preserve">shall submit a detailed progress report to the client on the last business day of each month, including data collection metrics, preliminary findings, and any deviations from the approved protocol.</w:t>
      </w:r>
    </w:p>
    <w:p>
      <w:pPr>
        <w:numPr>
          <w:ilvl w:val="0"/>
          <w:numId w:val="1001"/>
        </w:numPr>
        <w:pStyle w:val="Compact"/>
      </w:pPr>
      <w:r>
        <w:t xml:space="preserve">Intellectual property arising from the research shall be jointly owned by the client and the service provider, as stipulated in the definitive service contract.</w:t>
      </w:r>
    </w:p>
    <w:p>
      <w:pPr>
        <w:numPr>
          <w:ilvl w:val="0"/>
          <w:numId w:val="1001"/>
        </w:numPr>
        <w:pStyle w:val="Compact"/>
      </w:pPr>
      <w:r>
        <w:t xml:space="preserve">Force majeure events, including but not limited to public health emergencies, natural disasters, or government-mandated restrictions affecting operations in</w:t>
      </w:r>
      <w:r>
        <w:t xml:space="preserve"> </w:t>
      </w:r>
      <w:r>
        <w:t xml:space="preserve">Brazil Rio de Janeiro</w:t>
      </w:r>
      <w:r>
        <w:t xml:space="preserve">, shall suspend contractual obligations without penalty to either party.</w:t>
      </w:r>
    </w:p>
    <w:p>
      <w:pPr>
        <w:numPr>
          <w:ilvl w:val="0"/>
          <w:numId w:val="1001"/>
        </w:numPr>
        <w:pStyle w:val="Compact"/>
      </w:pPr>
      <w:r>
        <w:t xml:space="preserve">Any dispute arising from this engagement shall be resolved through arbitration in the city of Rio de Janeiro, under the rules of the Brazilian Arbitration Association (CAMARB), in the Portuguese language.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all terms, conditions, pricing, and scope of services described herein for the engagement of the</w:t>
      </w:r>
      <w:r>
        <w:t xml:space="preserve"> </w:t>
      </w:r>
      <w:r>
        <w:t xml:space="preserve">Medical Researcher</w:t>
      </w:r>
      <w:r>
        <w:t xml:space="preserve"> </w:t>
      </w:r>
      <w:r>
        <w:t xml:space="preserve">team in</w:t>
      </w:r>
      <w:r>
        <w:t xml:space="preserve"> </w:t>
      </w:r>
      <w:r>
        <w:t xml:space="preserve">Brazil Rio de Janeiro</w:t>
      </w:r>
      <w:r>
        <w:t xml:space="preserve">. This document does not constitute a binding contract until a formal service agreement is executed by both parties.</w:t>
      </w:r>
    </w:p>
    <w:p>
      <w:pPr>
        <w:pStyle w:val="BodyText"/>
      </w:pPr>
      <w:r>
        <w:rPr>
          <w:bCs/>
          <w:b/>
        </w:rPr>
        <w:t xml:space="preserve">Service Provider</w:t>
      </w:r>
      <w:r>
        <w:br/>
      </w:r>
      <w:r>
        <w:t xml:space="preserve">Dr. Ricardo Almeida, PhD</w:t>
      </w:r>
      <w:r>
        <w:br/>
      </w:r>
      <w:r>
        <w:t xml:space="preserve">Director, Medical Research Division</w:t>
      </w:r>
      <w:r>
        <w:br/>
      </w:r>
      <w:r>
        <w:t xml:space="preserve">Date: _______________</w:t>
      </w:r>
    </w:p>
    <w:p>
      <w:pPr>
        <w:pStyle w:val="BodyText"/>
      </w:pPr>
      <w:r>
        <w:rPr>
          <w:bCs/>
          <w:b/>
        </w:rPr>
        <w:t xml:space="preserve">Client Representative</w:t>
      </w:r>
      <w:r>
        <w:br/>
      </w:r>
      <w:r>
        <w:t xml:space="preserve">Dr. Helena Vasconcelos</w:t>
      </w:r>
      <w:r>
        <w:br/>
      </w:r>
      <w:r>
        <w:t xml:space="preserve">Director of Research, IPCRJ Ltda.</w:t>
      </w:r>
      <w:r>
        <w:br/>
      </w:r>
      <w:r>
        <w:t xml:space="preserve">Date: _______________</w:t>
      </w:r>
    </w:p>
    <w:p>
      <w:pPr>
        <w:pStyle w:val="BodyText"/>
      </w:pPr>
      <w:r>
        <w:t xml:space="preserve">This Quotation Estimate was prepared for the exclusive use of the client identified above. Unauthorized reproduction or distribution is prohibited.</w:t>
      </w:r>
    </w:p>
    <w:p>
      <w:pPr>
        <w:pStyle w:val="BodyText"/>
      </w:pPr>
      <w:r>
        <w:t xml:space="preserve">Document QE-MR-RJ-2025-0472 | Generated: 15 June 2025 | Page 1 of 1</w:t>
      </w:r>
    </w:p>
    <w:p>
      <w:pPr>
        <w:pStyle w:val="BodyText"/>
      </w:pPr>
      <w:r>
        <w:t xml:space="preserve">© 2025 Medical Research Division – Rio de Janeiro, Brazil.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Brazil Rio de Janeiro</dc:title>
  <dc:creator/>
  <dc:language>en</dc:language>
  <cp:keywords/>
  <dcterms:created xsi:type="dcterms:W3CDTF">2026-10-10T02:44:58Z</dcterms:created>
  <dcterms:modified xsi:type="dcterms:W3CDTF">2026-10-10T02:44:58Z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