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Montreal Biomedical Research Associates Inc.</w:t>
      </w:r>
    </w:p>
    <w:p>
      <w:pPr>
        <w:pStyle w:val="BodyText"/>
      </w:pPr>
      <w:r>
        <w:t xml:space="preserve">4567 Rue Sainte-Catherine Ouest, Suite 1200, Canada Montreal, QC H3A 2X1</w:t>
      </w:r>
    </w:p>
    <w:p>
      <w:pPr>
        <w:pStyle w:val="BodyText"/>
      </w:pPr>
      <w:r>
        <w:t xml:space="preserve">Phone: (514) 555-0192 | Email: estimates@mbra-montreal.ca</w:t>
      </w:r>
    </w:p>
    <w:p>
      <w:pPr>
        <w:pStyle w:val="BodyText"/>
      </w:pPr>
      <w:r>
        <w:t xml:space="preserve">QST Registration: Q123456789 | GST Registration: 123456789RT0001</w:t>
      </w:r>
    </w:p>
    <w:bookmarkEnd w:id="20"/>
    <w:p>
      <w:pPr>
        <w:pStyle w:val="BodyText"/>
      </w:pPr>
      <w:r>
        <w:rPr>
          <w:bCs/>
          <w:b/>
        </w:rPr>
        <w:t xml:space="preserve">Quotation Estimate No.:</w:t>
      </w:r>
      <w:r>
        <w:t xml:space="preserve"> </w:t>
      </w:r>
      <w:r>
        <w:t xml:space="preserve">QTE-2025-MR-0847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Dr. Émilie Tremblay, Ph.D.</w:t>
      </w:r>
      <w:r>
        <w:br/>
      </w:r>
      <w:r>
        <w:t xml:space="preserve">Department of Clinical Sciences</w:t>
      </w:r>
      <w:r>
        <w:br/>
      </w:r>
      <w:r>
        <w:t xml:space="preserve">Université de Montréal</w:t>
      </w:r>
      <w:r>
        <w:br/>
      </w:r>
      <w:r>
        <w:t xml:space="preserve">Canada Montreal, QC H3C 3J7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Montreal Biomedical Research Associates Inc. to provide a comprehensive cost breakdown for the engagement of a qualified</w:t>
      </w:r>
      <w:r>
        <w:t xml:space="preserve"> </w:t>
      </w:r>
      <w:r>
        <w:t xml:space="preserve">Medical Researcher</w:t>
      </w:r>
      <w:r>
        <w:t xml:space="preserve"> </w:t>
      </w:r>
      <w:r>
        <w:t xml:space="preserve">to conduct advanced clinical and translational research activities within the Canada Montreal metropolitan area. This document serves as a binding financial proposal and outlines all deliverables, timelines, and associated costs for the proposed research engagement. The</w:t>
      </w:r>
      <w:r>
        <w:t xml:space="preserve"> </w:t>
      </w:r>
      <w:r>
        <w:t xml:space="preserve">Medical Researcher</w:t>
      </w:r>
      <w:r>
        <w:t xml:space="preserve"> </w:t>
      </w:r>
      <w:r>
        <w:t xml:space="preserve">services described herein are tailored to meet the specific scientific objectives of the requesting institution and comply with all regulatory standards set forth by Health Canada, the Quebec Ministry of Health and Social Services, and the relevant institutional review boards operating in Canada Montreal.</w:t>
      </w:r>
    </w:p>
    <w:bookmarkEnd w:id="21"/>
    <w:bookmarkStart w:id="22" w:name="Xbfca88dd790a57c80d5c3a92fe2f3582a32b3c5"/>
    <w:p>
      <w:pPr>
        <w:pStyle w:val="Heading2"/>
      </w:pPr>
      <w:r>
        <w:t xml:space="preserve">2. Description of Medical Researcher Services</w:t>
      </w:r>
    </w:p>
    <w:p>
      <w:pPr>
        <w:pStyle w:val="FirstParagraph"/>
      </w:pPr>
      <w:r>
        <w:t xml:space="preserve">The proposed</w:t>
      </w:r>
      <w:r>
        <w:t xml:space="preserve"> </w:t>
      </w:r>
      <w:r>
        <w:t xml:space="preserve">Medical Researcher</w:t>
      </w:r>
      <w:r>
        <w:t xml:space="preserve"> </w:t>
      </w:r>
      <w:r>
        <w:t xml:space="preserve">engagement encompasses the following specialized services to be performed in and around Canada Montreal:</w:t>
      </w:r>
    </w:p>
    <w:p>
      <w:pPr>
        <w:numPr>
          <w:ilvl w:val="0"/>
          <w:numId w:val="1001"/>
        </w:numPr>
        <w:pStyle w:val="Compact"/>
      </w:pPr>
      <w:r>
        <w:rPr>
          <w:bCs/>
          <w:b/>
        </w:rPr>
        <w:t xml:space="preserve">Clinical Trial Design and Protocol Development:</w:t>
      </w:r>
      <w:r>
        <w:t xml:space="preserve"> </w:t>
      </w:r>
      <w:r>
        <w:t xml:space="preserve">The Medical Researcher will design, write, and submit a comprehensive clinical trial protocol for a Phase II oncology study, including statistical analysis plans, informed consent documentation, and regulatory submission packages for the relevant Canada Montreal ethics committee.</w:t>
      </w:r>
    </w:p>
    <w:p>
      <w:pPr>
        <w:numPr>
          <w:ilvl w:val="0"/>
          <w:numId w:val="1001"/>
        </w:numPr>
        <w:pStyle w:val="Compact"/>
      </w:pPr>
      <w:r>
        <w:rPr>
          <w:bCs/>
          <w:b/>
        </w:rPr>
        <w:t xml:space="preserve">Biostatistical Analysis and Data Management:</w:t>
      </w:r>
      <w:r>
        <w:t xml:space="preserve"> </w:t>
      </w:r>
      <w:r>
        <w:t xml:space="preserve">Full-spectrum biostatistical analysis of patient cohort data, including survival analysis, multivariate regression modelling, and publication-ready data visualization. The Medical Researcher will manage all data through a HIPAA-compliant and PHIPA-compliant electronic data capture system hosted within Canada Montreal.</w:t>
      </w:r>
    </w:p>
    <w:p>
      <w:pPr>
        <w:numPr>
          <w:ilvl w:val="0"/>
          <w:numId w:val="1001"/>
        </w:numPr>
        <w:pStyle w:val="Compact"/>
      </w:pPr>
      <w:r>
        <w:rPr>
          <w:bCs/>
          <w:b/>
        </w:rPr>
        <w:t xml:space="preserve">Literature Review and Systematic Meta-Analysis:</w:t>
      </w:r>
      <w:r>
        <w:t xml:space="preserve"> </w:t>
      </w:r>
      <w:r>
        <w:t xml:space="preserve">A thorough systematic review of peer-reviewed literature pertaining to the target therapeutic area, culminating in a meta-analysis suitable for submission to a Q1-indexed medical journal.</w:t>
      </w:r>
    </w:p>
    <w:p>
      <w:pPr>
        <w:numPr>
          <w:ilvl w:val="0"/>
          <w:numId w:val="1001"/>
        </w:numPr>
        <w:pStyle w:val="Compact"/>
      </w:pPr>
      <w:r>
        <w:rPr>
          <w:bCs/>
          <w:b/>
        </w:rPr>
        <w:t xml:space="preserve">Regulatory Compliance and Ethics Oversight:</w:t>
      </w:r>
      <w:r>
        <w:t xml:space="preserve"> </w:t>
      </w:r>
      <w:r>
        <w:t xml:space="preserve">The Medical Researcher will ensure full compliance with the Food and Drugs Act, the Controlled Drugs and Substances Act, and all applicable Quebec provincial regulations governing human subject research conducted in Canada Montreal.</w:t>
      </w:r>
    </w:p>
    <w:p>
      <w:pPr>
        <w:numPr>
          <w:ilvl w:val="0"/>
          <w:numId w:val="1001"/>
        </w:numPr>
        <w:pStyle w:val="Compact"/>
      </w:pPr>
      <w:r>
        <w:rPr>
          <w:bCs/>
          <w:b/>
        </w:rPr>
        <w:t xml:space="preserve">Collaborative Research and Mentorship:</w:t>
      </w:r>
      <w:r>
        <w:t xml:space="preserve"> </w:t>
      </w:r>
      <w:r>
        <w:t xml:space="preserve">The Medical Researcher will provide weekly mentorship sessions to two graduate research assistants and coordinate inter-institutional collaboration with partner laboratories located in the Canada Montreal research corridor.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Medical Researcher – Senior Clinical Researcher (Ph.D., M.D.) hourly professional fee</w:t>
            </w:r>
          </w:p>
        </w:tc>
        <w:tc>
          <w:tcPr/>
          <w:p>
            <w:pPr>
              <w:pStyle w:val="Compact"/>
              <w:jc w:val="left"/>
            </w:pPr>
            <w:r>
              <w:t xml:space="preserve">320 hours</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02</w:t>
            </w:r>
          </w:p>
        </w:tc>
        <w:tc>
          <w:tcPr/>
          <w:p>
            <w:pPr>
              <w:pStyle w:val="Compact"/>
              <w:jc w:val="left"/>
            </w:pPr>
            <w:r>
              <w:t xml:space="preserve">Medical Researcher – Biostatistical Consultant (Ph.D.) hourly professional fee</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03</w:t>
            </w:r>
          </w:p>
        </w:tc>
        <w:tc>
          <w:tcPr/>
          <w:p>
            <w:pPr>
              <w:pStyle w:val="Compact"/>
              <w:jc w:val="left"/>
            </w:pPr>
            <w:r>
              <w:t xml:space="preserve">Regulatory filing and ethics committee submission fees (Canada Montreal IRB)</w:t>
            </w:r>
          </w:p>
        </w:tc>
        <w:tc>
          <w:tcPr/>
          <w:p>
            <w:pPr>
              <w:pStyle w:val="Compact"/>
              <w:jc w:val="left"/>
            </w:pPr>
            <w:r>
              <w:t xml:space="preserve">One-time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Specialized laboratory reagents and consumables (procured in Canada Montreal)</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Electronic Data Capture (EDC) platform licensing and data hosting</w:t>
            </w:r>
          </w:p>
        </w:tc>
        <w:tc>
          <w:tcPr/>
          <w:p>
            <w:pPr>
              <w:pStyle w:val="Compact"/>
              <w:jc w:val="left"/>
            </w:pPr>
            <w:r>
              <w:t xml:space="preserve">12 months</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06</w:t>
            </w:r>
          </w:p>
        </w:tc>
        <w:tc>
          <w:tcPr/>
          <w:p>
            <w:pPr>
              <w:pStyle w:val="Compact"/>
              <w:jc w:val="left"/>
            </w:pPr>
            <w:r>
              <w:t xml:space="preserve">Publication fees, journal submission, and peer-review support</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and on-site coordination within Canada Montreal and surrounding regions</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$2,750.00</w:t>
            </w:r>
          </w:p>
        </w:tc>
      </w:tr>
      <w:tr>
        <w:tc>
          <w:tcPr>
            <w:gridSpan w:val="4"/>
          </w:tcPr>
          <w:p>
            <w:pPr>
              <w:pStyle w:val="Compact"/>
              <w:jc w:val="left"/>
            </w:pPr>
            <w:r>
              <w:t xml:space="preserve">Subtotal (before taxes)</w:t>
            </w:r>
          </w:p>
        </w:tc>
        <w:tc>
          <w:tcPr/>
          <w:p>
            <w:pPr>
              <w:pStyle w:val="Compact"/>
              <w:jc w:val="left"/>
            </w:pPr>
            <w:r>
              <w:t xml:space="preserve">$118,300.00</w:t>
            </w:r>
          </w:p>
        </w:tc>
      </w:tr>
      <w:tr>
        <w:tc>
          <w:tcPr>
            <w:gridSpan w:val="4"/>
          </w:tcPr>
          <w:p>
            <w:pPr>
              <w:pStyle w:val="Compact"/>
              <w:jc w:val="left"/>
            </w:pPr>
            <w:r>
              <w:t xml:space="preserve">GST (5%)</w:t>
            </w:r>
          </w:p>
        </w:tc>
        <w:tc>
          <w:tcPr/>
          <w:p>
            <w:pPr>
              <w:pStyle w:val="Compact"/>
              <w:jc w:val="left"/>
            </w:pPr>
            <w:r>
              <w:t xml:space="preserve">$5,915.00</w:t>
            </w:r>
          </w:p>
        </w:tc>
      </w:tr>
      <w:tr>
        <w:tc>
          <w:tcPr>
            <w:gridSpan w:val="4"/>
          </w:tcPr>
          <w:p>
            <w:pPr>
              <w:pStyle w:val="Compact"/>
              <w:jc w:val="left"/>
            </w:pPr>
            <w:r>
              <w:t xml:space="preserve">QST (9.975%)</w:t>
            </w:r>
          </w:p>
        </w:tc>
        <w:tc>
          <w:tcPr/>
          <w:p>
            <w:pPr>
              <w:pStyle w:val="Compact"/>
              <w:jc w:val="left"/>
            </w:pPr>
            <w:r>
              <w:t xml:space="preserve">$11,800.63</w:t>
            </w:r>
          </w:p>
        </w:tc>
      </w:tr>
      <w:tr>
        <w:tc>
          <w:tcPr>
            <w:gridSpan w:val="4"/>
          </w:tcPr>
          <w:p>
            <w:pPr>
              <w:pStyle w:val="Compact"/>
              <w:jc w:val="left"/>
            </w:pPr>
            <w:r>
              <w:rPr>
                <w:bCs/>
                <w:b/>
              </w:rPr>
              <w:t xml:space="preserve">TOTAL ESTIMATED COST (CAD)</w:t>
            </w:r>
          </w:p>
        </w:tc>
        <w:tc>
          <w:tcPr/>
          <w:p>
            <w:pPr>
              <w:pStyle w:val="Compact"/>
              <w:jc w:val="left"/>
            </w:pPr>
            <w:r>
              <w:rPr>
                <w:bCs/>
                <w:b/>
              </w:rPr>
              <w:t xml:space="preserve">$136,015.63</w:t>
            </w:r>
          </w:p>
        </w:tc>
      </w:tr>
    </w:tbl>
    <w:p>
      <w:pPr>
        <w:pStyle w:val="BodyText"/>
      </w:pPr>
      <w:r>
        <w:rPr>
          <w:bCs/>
          <w:b/>
        </w:rPr>
        <w:t xml:space="preserve">Note:</w:t>
      </w:r>
      <w:r>
        <w:t xml:space="preserve"> </w:t>
      </w:r>
      <w:r>
        <w:t xml:space="preserve">This Quotation Estimate is denominated in Canadian Dollars (CAD). All rates reflect the prevailing professional compensation standards for a Medical Researcher operating in the Canada Montreal academic and clinical research sector as of June 2025. Rates are subject to annual adjustment based on the Montreal Consumer Price Index.</w:t>
      </w:r>
    </w:p>
    <w:bookmarkEnd w:id="23"/>
    <w:bookmarkStart w:id="24" w:name="payment-schedule"/>
    <w:p>
      <w:pPr>
        <w:pStyle w:val="Heading2"/>
      </w:pPr>
      <w:r>
        <w:t xml:space="preserve">4. Payment Schedule</w:t>
      </w:r>
    </w:p>
    <w:p>
      <w:pPr>
        <w:pStyle w:val="FirstParagraph"/>
      </w:pPr>
      <w:r>
        <w:t xml:space="preserve">Payment for the Medical Researcher services outlined in this Quotation Estimate shall be made according to the following milestone-based schedule:</w:t>
      </w:r>
    </w:p>
    <w:p>
      <w:pPr>
        <w:numPr>
          <w:ilvl w:val="0"/>
          <w:numId w:val="1002"/>
        </w:numPr>
        <w:pStyle w:val="Compact"/>
      </w:pPr>
      <w:r>
        <w:rPr>
          <w:bCs/>
          <w:b/>
        </w:rPr>
        <w:t xml:space="preserve">Milestone 1 (30%):</w:t>
      </w:r>
      <w:r>
        <w:t xml:space="preserve"> </w:t>
      </w:r>
      <w:r>
        <w:t xml:space="preserve">Due upon execution of this Quotation Estimate and formal contract – $40,804.69</w:t>
      </w:r>
    </w:p>
    <w:p>
      <w:pPr>
        <w:numPr>
          <w:ilvl w:val="0"/>
          <w:numId w:val="1002"/>
        </w:numPr>
        <w:pStyle w:val="Compact"/>
      </w:pPr>
      <w:r>
        <w:rPr>
          <w:bCs/>
          <w:b/>
        </w:rPr>
        <w:t xml:space="preserve">Milestone 2 (25%):</w:t>
      </w:r>
      <w:r>
        <w:t xml:space="preserve"> </w:t>
      </w:r>
      <w:r>
        <w:t xml:space="preserve">Due upon completion of protocol design and IRB approval in Canada Montreal – $34,003.91</w:t>
      </w:r>
    </w:p>
    <w:p>
      <w:pPr>
        <w:numPr>
          <w:ilvl w:val="0"/>
          <w:numId w:val="1002"/>
        </w:numPr>
        <w:pStyle w:val="Compact"/>
      </w:pPr>
      <w:r>
        <w:rPr>
          <w:bCs/>
          <w:b/>
        </w:rPr>
        <w:t xml:space="preserve">Milestone 3 (25%):</w:t>
      </w:r>
      <w:r>
        <w:t xml:space="preserve"> </w:t>
      </w:r>
      <w:r>
        <w:t xml:space="preserve">Due upon completion of biostatistical analysis and data management – $34,003.91</w:t>
      </w:r>
    </w:p>
    <w:p>
      <w:pPr>
        <w:numPr>
          <w:ilvl w:val="0"/>
          <w:numId w:val="1002"/>
        </w:numPr>
        <w:pStyle w:val="Compact"/>
      </w:pPr>
      <w:r>
        <w:rPr>
          <w:bCs/>
          <w:b/>
        </w:rPr>
        <w:t xml:space="preserve">Milestone 4 (20%):</w:t>
      </w:r>
      <w:r>
        <w:t xml:space="preserve"> </w:t>
      </w:r>
      <w:r>
        <w:t xml:space="preserve">Due upon final delivery of all research outputs and publication submission – $27,203.12</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availability of the Medical Researcher must be reconfirmed in writing.</w:t>
      </w:r>
    </w:p>
    <w:p>
      <w:pPr>
        <w:numPr>
          <w:ilvl w:val="0"/>
          <w:numId w:val="1003"/>
        </w:numPr>
        <w:pStyle w:val="Compact"/>
      </w:pPr>
      <w:r>
        <w:t xml:space="preserve">The Medical Researcher retains full intellectual property rights over methodologies, analytical frameworks, and proprietary tools developed independently prior to this engagement. All data generated specifically for the client within Canada Montreal shall be jointly owned as stipulated in the master services agreement.</w:t>
      </w:r>
    </w:p>
    <w:p>
      <w:pPr>
        <w:numPr>
          <w:ilvl w:val="0"/>
          <w:numId w:val="1003"/>
        </w:numPr>
        <w:pStyle w:val="Compact"/>
      </w:pPr>
      <w:r>
        <w:t xml:space="preserve">Any scope changes exceeding ten percent (10%) of the total estimated cost will require a formal amendment to this Quotation Estimate, signed by both parties.</w:t>
      </w:r>
    </w:p>
    <w:p>
      <w:pPr>
        <w:numPr>
          <w:ilvl w:val="0"/>
          <w:numId w:val="1003"/>
        </w:numPr>
        <w:pStyle w:val="Compact"/>
      </w:pPr>
      <w:r>
        <w:t xml:space="preserve">The Medical Researcher is bound by strict confidentiality obligations under the Quebec Act Respecting the Protection of Personal Information (Law 25) and all applicable federal privacy legislation in Canada.</w:t>
      </w:r>
    </w:p>
    <w:p>
      <w:pPr>
        <w:numPr>
          <w:ilvl w:val="0"/>
          <w:numId w:val="1003"/>
        </w:numPr>
        <w:pStyle w:val="Compact"/>
      </w:pPr>
      <w:r>
        <w:t xml:space="preserve">Disputes arising from this Quotation Estimate shall be resolved through mediation in Canada Montreal, in accordance with the Civil Code of Quebec.</w:t>
      </w:r>
    </w:p>
    <w:p>
      <w:pPr>
        <w:numPr>
          <w:ilvl w:val="0"/>
          <w:numId w:val="1003"/>
        </w:numPr>
        <w:pStyle w:val="Compact"/>
      </w:pPr>
      <w:r>
        <w:t xml:space="preserve">This Quotation Estimate does not constitute a guarantee of specific research outcomes. The Medical Researcher commits to the highest standards of scientific rigour, ethical conduct, and professional diligence throughout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Medical Researcher services in Canada Montreal and authorizes Montreal Biomedical Research Associates Inc. to proceed with the engagement as described herein. This signature constitutes a binding acceptance of all terms, conditions, and financial obligations outlined in this document.</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Montreal Biomedical Research Associates Inc.:</w:t>
      </w:r>
    </w:p>
    <w:p>
      <w:pPr>
        <w:pStyle w:val="BodyText"/>
      </w:pPr>
      <w:r>
        <w:t xml:space="preserve">Name: Dr. Marc-Antoine Gagnon, Ph.D.</w:t>
      </w:r>
      <w:r>
        <w:br/>
      </w:r>
      <w:r>
        <w:t xml:space="preserve">Title: Director of Research Operations</w:t>
      </w:r>
      <w:r>
        <w:br/>
      </w:r>
      <w:r>
        <w:t xml:space="preserve">Signature: ______________________________</w:t>
      </w:r>
      <w:r>
        <w:br/>
      </w:r>
      <w:r>
        <w:t xml:space="preserve">Date: ______________________________</w:t>
      </w:r>
    </w:p>
    <w:p>
      <w:pPr>
        <w:pStyle w:val="BodyText"/>
      </w:pPr>
      <w:r>
        <w:t xml:space="preserve">Quotation Estimate QTE-2025-MR-0847 | Montreal Biomedical Research Associates Inc. | Canada Montreal, QC</w:t>
      </w:r>
    </w:p>
    <w:p>
      <w:pPr>
        <w:pStyle w:val="BodyText"/>
      </w:pPr>
      <w:r>
        <w:t xml:space="preserve">This document is the property of Montreal Biomedical Research Associates Inc. Unauthorized reproduction or distribution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Canada Montreal</dc:title>
  <dc:creator/>
  <dc:language>en</dc:language>
  <cp:keywords/>
  <dcterms:created xsi:type="dcterms:W3CDTF">2026-10-10T03:50:34Z</dcterms:created>
  <dcterms:modified xsi:type="dcterms:W3CDTF">2026-10-10T03:50:34Z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