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1" w:name="quotation-estimate"/>
    <w:p>
      <w:pPr>
        <w:pStyle w:val="Heading1"/>
      </w:pPr>
      <w:r>
        <w:t xml:space="preserve">QUOTATION ESTIMATE</w:t>
      </w:r>
    </w:p>
    <w:bookmarkStart w:id="20" w:name="medical-researcher-professional-services"/>
    <w:p>
      <w:pPr>
        <w:pStyle w:val="Heading2"/>
      </w:pPr>
      <w:r>
        <w:t xml:space="preserve">Medical Researcher Professional Services</w:t>
      </w:r>
    </w:p>
    <w:p>
      <w:pPr>
        <w:pStyle w:val="FirstParagraph"/>
      </w:pPr>
      <w:r>
        <w:t xml:space="preserve">Prepared for Operations in China Guangzhou</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QTE-CGZ-2025-0047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w:t>
            </w:r>
          </w:p>
        </w:tc>
      </w:tr>
      <w:tr>
        <w:tc>
          <w:tcPr/>
          <w:p>
            <w:pPr>
              <w:pStyle w:val="Compact"/>
              <w:jc w:val="left"/>
            </w:pPr>
            <w:r>
              <w:t xml:space="preserve">Prepared By:</w:t>
            </w:r>
          </w:p>
        </w:tc>
        <w:tc>
          <w:tcPr/>
          <w:p>
            <w:pPr>
              <w:pStyle w:val="Compact"/>
              <w:jc w:val="left"/>
            </w:pPr>
            <w:r>
              <w:t xml:space="preserve">Dr. Wei Zhang, Senior Consultant – Biomedical Research Division</w:t>
            </w:r>
          </w:p>
        </w:tc>
      </w:tr>
      <w:tr>
        <w:tc>
          <w:tcPr/>
          <w:p>
            <w:pPr>
              <w:pStyle w:val="Compact"/>
              <w:jc w:val="left"/>
            </w:pPr>
            <w:r>
              <w:t xml:space="preserve">Company:</w:t>
            </w:r>
          </w:p>
        </w:tc>
        <w:tc>
          <w:tcPr/>
          <w:p>
            <w:pPr>
              <w:pStyle w:val="Compact"/>
              <w:jc w:val="left"/>
            </w:pPr>
            <w:r>
              <w:t xml:space="preserve">Guangzhou Advanced Biomedical Research Institute Co., Ltd.</w:t>
            </w:r>
          </w:p>
        </w:tc>
      </w:tr>
      <w:tr>
        <w:tc>
          <w:tcPr/>
          <w:p>
            <w:pPr>
              <w:pStyle w:val="Compact"/>
              <w:jc w:val="left"/>
            </w:pPr>
            <w:r>
              <w:t xml:space="preserve">Address:</w:t>
            </w:r>
          </w:p>
        </w:tc>
        <w:tc>
          <w:tcPr/>
          <w:p>
            <w:pPr>
              <w:pStyle w:val="Compact"/>
              <w:jc w:val="left"/>
            </w:pPr>
            <w:r>
              <w:t xml:space="preserve">No. 128 Tianhe Road, Tianhe District, Guangzhou, Guangdong Province, China 510630</w:t>
            </w:r>
          </w:p>
        </w:tc>
      </w:tr>
      <w:tr>
        <w:tc>
          <w:tcPr/>
          <w:p>
            <w:pPr>
              <w:pStyle w:val="Compact"/>
              <w:jc w:val="left"/>
            </w:pPr>
            <w:r>
              <w:t xml:space="preserve">Contact:</w:t>
            </w:r>
          </w:p>
        </w:tc>
        <w:tc>
          <w:tcPr/>
          <w:p>
            <w:pPr>
              <w:pStyle w:val="Compact"/>
              <w:jc w:val="left"/>
            </w:pPr>
            <w:r>
              <w:t xml:space="preserve">research@gzabrinstitute.cn | +86-20-8876-5432</w:t>
            </w:r>
          </w:p>
        </w:tc>
      </w:tr>
      <w:tr>
        <w:tc>
          <w:tcPr/>
          <w:p>
            <w:pPr>
              <w:pStyle w:val="Compact"/>
              <w:jc w:val="left"/>
            </w:pPr>
            <w:r>
              <w:t xml:space="preserve">Client:</w:t>
            </w:r>
          </w:p>
        </w:tc>
        <w:tc>
          <w:tcPr/>
          <w:p>
            <w:pPr>
              <w:pStyle w:val="Compact"/>
              <w:jc w:val="left"/>
            </w:pPr>
            <w:r>
              <w:t xml:space="preserve">International Pharmaceutical Alliance – Asia Pacific Division</w:t>
            </w:r>
          </w:p>
        </w:tc>
      </w:tr>
      <w:tr>
        <w:tc>
          <w:tcPr/>
          <w:p>
            <w:pPr>
              <w:pStyle w:val="Compact"/>
              <w:jc w:val="left"/>
            </w:pPr>
            <w:r>
              <w:t xml:space="preserve">Client Reference:</w:t>
            </w:r>
          </w:p>
        </w:tc>
        <w:tc>
          <w:tcPr/>
          <w:p>
            <w:pPr>
              <w:pStyle w:val="Compact"/>
              <w:jc w:val="left"/>
            </w:pPr>
            <w:r>
              <w:t xml:space="preserve">IPA-AP-2025-REQ-0112</w:t>
            </w:r>
          </w:p>
        </w:tc>
      </w:tr>
    </w:tbl>
    <w:bookmarkStart w:id="22" w:name="X0c7581080508d578c26b6d8dfd726c7e3ca5cc9"/>
    <w:p>
      <w:pPr>
        <w:pStyle w:val="Heading3"/>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Guangzhou Advanced Biomedical Research Institute Co., Ltd. to provide a comprehensive and itemized financial projection for the engagement of a qualified</w:t>
      </w:r>
      <w:r>
        <w:t xml:space="preserve"> </w:t>
      </w:r>
      <w:r>
        <w:t xml:space="preserve">Medical Researcher</w:t>
      </w:r>
      <w:r>
        <w:t xml:space="preserve"> </w:t>
      </w:r>
      <w:r>
        <w:t xml:space="preserve">to conduct preclinical and early-phase clinical research activities within the city of</w:t>
      </w:r>
      <w:r>
        <w:t xml:space="preserve"> </w:t>
      </w:r>
      <w:r>
        <w:t xml:space="preserve">China Guangzhou</w:t>
      </w:r>
      <w:r>
        <w:t xml:space="preserve">. The scope encompasses laboratory-based investigation, data analysis, regulatory compliance documentation, and collaborative research output aligned with the client's therapeutic pipeline in oncology and immunology.</w:t>
      </w:r>
    </w:p>
    <w:p>
      <w:pPr>
        <w:pStyle w:val="BodyText"/>
      </w:pPr>
      <w:r>
        <w:t xml:space="preserve">The</w:t>
      </w:r>
      <w:r>
        <w:t xml:space="preserve"> </w:t>
      </w:r>
      <w:r>
        <w:t xml:space="preserve">Medical Researcher</w:t>
      </w:r>
      <w:r>
        <w:t xml:space="preserve"> </w:t>
      </w:r>
      <w:r>
        <w:t xml:space="preserve">engagement described herein is specifically tailored to the regulatory, academic, and industrial research environment of</w:t>
      </w:r>
      <w:r>
        <w:t xml:space="preserve"> </w:t>
      </w:r>
      <w:r>
        <w:t xml:space="preserve">China Guangzhou</w:t>
      </w:r>
      <w:r>
        <w:t xml:space="preserve">, leveraging the city's established infrastructure including the Southern Medical University research campus, the Guangzhou Institute of Respiratory Disease, and the Guangdong Provincial Center for Drug Evaluation. All activities will be conducted in full compliance with the National Medical Products Administration (NMPA) of China and applicable local Guangzhou municipal regulations governing biomedical research.</w:t>
      </w:r>
    </w:p>
    <w:bookmarkEnd w:id="22"/>
    <w:bookmarkStart w:id="23" w:name="itemized-cost-breakdown"/>
    <w:p>
      <w:pPr>
        <w:pStyle w:val="Heading3"/>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(CNY)</w:t>
            </w:r>
          </w:p>
        </w:tc>
        <w:tc>
          <w:tcPr/>
          <w:p>
            <w:pPr>
              <w:pStyle w:val="Compact"/>
              <w:jc w:val="left"/>
            </w:pPr>
            <w:r>
              <w:t xml:space="preserve">Quantity</w:t>
            </w:r>
          </w:p>
        </w:tc>
        <w:tc>
          <w:tcPr/>
          <w:p>
            <w:pPr>
              <w:pStyle w:val="Compact"/>
              <w:jc w:val="left"/>
            </w:pPr>
            <w:r>
              <w:t xml:space="preserve">Subtotal (CNY)</w:t>
            </w:r>
          </w:p>
        </w:tc>
      </w:tr>
      <w:tr>
        <w:tc>
          <w:tcPr/>
          <w:p>
            <w:pPr>
              <w:pStyle w:val="Compact"/>
              <w:jc w:val="left"/>
            </w:pPr>
            <w:r>
              <w:t xml:space="preserve">01</w:t>
            </w:r>
          </w:p>
        </w:tc>
        <w:tc>
          <w:tcPr/>
          <w:p>
            <w:pPr>
              <w:pStyle w:val="Compact"/>
              <w:jc w:val="left"/>
            </w:pPr>
            <w:r>
              <w:t xml:space="preserve">Engagement of Senior Medical Researcher (PhD, 10+ years experience in oncology) – monthly professional fee</w:t>
            </w:r>
          </w:p>
        </w:tc>
        <w:tc>
          <w:tcPr/>
          <w:p>
            <w:pPr>
              <w:pStyle w:val="Compact"/>
              <w:jc w:val="left"/>
            </w:pPr>
            <w:r>
              <w:t xml:space="preserve">12 months</w:t>
            </w:r>
          </w:p>
        </w:tc>
        <w:tc>
          <w:tcPr/>
          <w:p>
            <w:pPr>
              <w:pStyle w:val="Compact"/>
              <w:jc w:val="left"/>
            </w:pPr>
            <w:r>
              <w:t xml:space="preserve">85,000</w:t>
            </w:r>
          </w:p>
        </w:tc>
        <w:tc>
          <w:tcPr/>
          <w:p>
            <w:pPr>
              <w:pStyle w:val="Compact"/>
              <w:jc w:val="left"/>
            </w:pPr>
            <w:r>
              <w:t xml:space="preserve">12</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Engagement of Junior Medical Researcher (MSc, 3+ years experience) – monthly professional fee</w:t>
            </w:r>
          </w:p>
        </w:tc>
        <w:tc>
          <w:tcPr/>
          <w:p>
            <w:pPr>
              <w:pStyle w:val="Compact"/>
              <w:jc w:val="left"/>
            </w:pPr>
            <w:r>
              <w:t xml:space="preserve">12 months</w:t>
            </w:r>
          </w:p>
        </w:tc>
        <w:tc>
          <w:tcPr/>
          <w:p>
            <w:pPr>
              <w:pStyle w:val="Compact"/>
              <w:jc w:val="left"/>
            </w:pPr>
            <w:r>
              <w:t xml:space="preserve">42,000</w:t>
            </w:r>
          </w:p>
        </w:tc>
        <w:tc>
          <w:tcPr/>
          <w:p>
            <w:pPr>
              <w:pStyle w:val="Compact"/>
              <w:jc w:val="left"/>
            </w:pPr>
            <w:r>
              <w:t xml:space="preserve">12</w:t>
            </w:r>
          </w:p>
        </w:tc>
        <w:tc>
          <w:tcPr/>
          <w:p>
            <w:pPr>
              <w:pStyle w:val="Compact"/>
              <w:jc w:val="left"/>
            </w:pPr>
            <w:r>
              <w:t xml:space="preserve">504,000</w:t>
            </w:r>
          </w:p>
        </w:tc>
      </w:tr>
      <w:tr>
        <w:tc>
          <w:tcPr/>
          <w:p>
            <w:pPr>
              <w:pStyle w:val="Compact"/>
              <w:jc w:val="left"/>
            </w:pPr>
            <w:r>
              <w:t xml:space="preserve">03</w:t>
            </w:r>
          </w:p>
        </w:tc>
        <w:tc>
          <w:tcPr/>
          <w:p>
            <w:pPr>
              <w:pStyle w:val="Compact"/>
              <w:jc w:val="left"/>
            </w:pPr>
            <w:r>
              <w:t xml:space="preserve">Laboratory access and consumables at Guangzhou Biomedical Research Park (Tianhe District)</w:t>
            </w:r>
          </w:p>
        </w:tc>
        <w:tc>
          <w:tcPr/>
          <w:p>
            <w:pPr>
              <w:pStyle w:val="Compact"/>
              <w:jc w:val="left"/>
            </w:pPr>
            <w:r>
              <w:t xml:space="preserve">12 months</w:t>
            </w:r>
          </w:p>
        </w:tc>
        <w:tc>
          <w:tcPr/>
          <w:p>
            <w:pPr>
              <w:pStyle w:val="Compact"/>
              <w:jc w:val="left"/>
            </w:pPr>
            <w:r>
              <w:t xml:space="preserve">28,000</w:t>
            </w:r>
          </w:p>
        </w:tc>
        <w:tc>
          <w:tcPr/>
          <w:p>
            <w:pPr>
              <w:pStyle w:val="Compact"/>
              <w:jc w:val="left"/>
            </w:pPr>
            <w:r>
              <w:t xml:space="preserve">12</w:t>
            </w:r>
          </w:p>
        </w:tc>
        <w:tc>
          <w:tcPr/>
          <w:p>
            <w:pPr>
              <w:pStyle w:val="Compact"/>
              <w:jc w:val="left"/>
            </w:pPr>
            <w:r>
              <w:t xml:space="preserve">336,000</w:t>
            </w:r>
          </w:p>
        </w:tc>
      </w:tr>
      <w:tr>
        <w:tc>
          <w:tcPr/>
          <w:p>
            <w:pPr>
              <w:pStyle w:val="Compact"/>
              <w:jc w:val="left"/>
            </w:pPr>
            <w:r>
              <w:t xml:space="preserve">04</w:t>
            </w:r>
          </w:p>
        </w:tc>
        <w:tc>
          <w:tcPr/>
          <w:p>
            <w:pPr>
              <w:pStyle w:val="Compact"/>
              <w:jc w:val="left"/>
            </w:pPr>
            <w:r>
              <w:t xml:space="preserve">Regulatory compliance and NMPA filing support for research protocols in China Guangzhou</w:t>
            </w:r>
          </w:p>
        </w:tc>
        <w:tc>
          <w:tcPr/>
          <w:p>
            <w:pPr>
              <w:pStyle w:val="Compact"/>
              <w:jc w:val="left"/>
            </w:pPr>
            <w:r>
              <w:t xml:space="preserve">One-time</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Publication and intellectual property management (minimum 3 peer-reviewed articles)</w:t>
            </w:r>
          </w:p>
        </w:tc>
        <w:tc>
          <w:tcPr/>
          <w:p>
            <w:pPr>
              <w:pStyle w:val="Compact"/>
              <w:jc w:val="left"/>
            </w:pPr>
            <w:r>
              <w:t xml:space="preserve">12 months</w:t>
            </w:r>
          </w:p>
        </w:tc>
        <w:tc>
          <w:tcPr/>
          <w:p>
            <w:pPr>
              <w:pStyle w:val="Compact"/>
              <w:jc w:val="left"/>
            </w:pPr>
            <w:r>
              <w:t xml:space="preserve">35,000</w:t>
            </w:r>
          </w:p>
        </w:tc>
        <w:tc>
          <w:tcPr/>
          <w:p>
            <w:pPr>
              <w:pStyle w:val="Compact"/>
              <w:jc w:val="left"/>
            </w:pPr>
            <w:r>
              <w:t xml:space="preserve">3</w:t>
            </w:r>
          </w:p>
        </w:tc>
        <w:tc>
          <w:tcPr/>
          <w:p>
            <w:pPr>
              <w:pStyle w:val="Compact"/>
              <w:jc w:val="left"/>
            </w:pPr>
            <w:r>
              <w:t xml:space="preserve">105,000</w:t>
            </w:r>
          </w:p>
        </w:tc>
      </w:tr>
      <w:tr>
        <w:tc>
          <w:tcPr/>
          <w:p>
            <w:pPr>
              <w:pStyle w:val="Compact"/>
              <w:jc w:val="left"/>
            </w:pPr>
            <w:r>
              <w:t xml:space="preserve">06</w:t>
            </w:r>
          </w:p>
        </w:tc>
        <w:tc>
          <w:tcPr/>
          <w:p>
            <w:pPr>
              <w:pStyle w:val="Compact"/>
              <w:jc w:val="left"/>
            </w:pPr>
            <w:r>
              <w:t xml:space="preserve">Travel and accommodation for on-site supervision visits to Guangzhou (4 visits per year)</w:t>
            </w:r>
          </w:p>
        </w:tc>
        <w:tc>
          <w:tcPr/>
          <w:p>
            <w:pPr>
              <w:pStyle w:val="Compact"/>
              <w:jc w:val="left"/>
            </w:pPr>
            <w:r>
              <w:t xml:space="preserve">12 months</w:t>
            </w:r>
          </w:p>
        </w:tc>
        <w:tc>
          <w:tcPr/>
          <w:p>
            <w:pPr>
              <w:pStyle w:val="Compact"/>
              <w:jc w:val="left"/>
            </w:pPr>
            <w:r>
              <w:t xml:space="preserve">18,000</w:t>
            </w:r>
          </w:p>
        </w:tc>
        <w:tc>
          <w:tcPr/>
          <w:p>
            <w:pPr>
              <w:pStyle w:val="Compact"/>
              <w:jc w:val="left"/>
            </w:pPr>
            <w:r>
              <w:t xml:space="preserve">4</w:t>
            </w:r>
          </w:p>
        </w:tc>
        <w:tc>
          <w:tcPr/>
          <w:p>
            <w:pPr>
              <w:pStyle w:val="Compact"/>
              <w:jc w:val="left"/>
            </w:pPr>
            <w:r>
              <w:t xml:space="preserve">72,000</w:t>
            </w:r>
          </w:p>
        </w:tc>
      </w:tr>
      <w:tr>
        <w:tc>
          <w:tcPr/>
          <w:p>
            <w:pPr>
              <w:pStyle w:val="Compact"/>
              <w:jc w:val="left"/>
            </w:pPr>
            <w:r>
              <w:t xml:space="preserve">07</w:t>
            </w:r>
          </w:p>
        </w:tc>
        <w:tc>
          <w:tcPr/>
          <w:p>
            <w:pPr>
              <w:pStyle w:val="Compact"/>
              <w:jc w:val="left"/>
            </w:pPr>
            <w:r>
              <w:t xml:space="preserve">Translation and bilingual documentation services (Mandarin Chinese / English)</w:t>
            </w:r>
          </w:p>
        </w:tc>
        <w:tc>
          <w:tcPr/>
          <w:p>
            <w:pPr>
              <w:pStyle w:val="Compact"/>
              <w:jc w:val="left"/>
            </w:pPr>
            <w:r>
              <w:t xml:space="preserve">12 months</w:t>
            </w:r>
          </w:p>
        </w:tc>
        <w:tc>
          <w:tcPr/>
          <w:p>
            <w:pPr>
              <w:pStyle w:val="Compact"/>
              <w:jc w:val="left"/>
            </w:pPr>
            <w:r>
              <w:t xml:space="preserve">12,000</w:t>
            </w:r>
          </w:p>
        </w:tc>
        <w:tc>
          <w:tcPr/>
          <w:p>
            <w:pPr>
              <w:pStyle w:val="Compact"/>
              <w:jc w:val="left"/>
            </w:pPr>
            <w:r>
              <w:t xml:space="preserve">12</w:t>
            </w:r>
          </w:p>
        </w:tc>
        <w:tc>
          <w:tcPr/>
          <w:p>
            <w:pPr>
              <w:pStyle w:val="Compact"/>
              <w:jc w:val="left"/>
            </w:pPr>
            <w:r>
              <w:t xml:space="preserve">144,000</w:t>
            </w:r>
          </w:p>
        </w:tc>
      </w:tr>
      <w:tr>
        <w:tc>
          <w:tcPr/>
          <w:p>
            <w:pPr>
              <w:pStyle w:val="Compact"/>
              <w:jc w:val="left"/>
            </w:pPr>
            <w:r>
              <w:t xml:space="preserve">08</w:t>
            </w:r>
          </w:p>
        </w:tc>
        <w:tc>
          <w:tcPr/>
          <w:p>
            <w:pPr>
              <w:pStyle w:val="Compact"/>
              <w:jc w:val="left"/>
            </w:pPr>
            <w:r>
              <w:t xml:space="preserve">Project management, reporting, and quarterly review meetings</w:t>
            </w:r>
          </w:p>
        </w:tc>
        <w:tc>
          <w:tcPr/>
          <w:p>
            <w:pPr>
              <w:pStyle w:val="Compact"/>
              <w:jc w:val="left"/>
            </w:pPr>
            <w:r>
              <w:t xml:space="preserve">12 months</w:t>
            </w:r>
          </w:p>
        </w:tc>
        <w:tc>
          <w:tcPr/>
          <w:p>
            <w:pPr>
              <w:pStyle w:val="Compact"/>
              <w:jc w:val="left"/>
            </w:pPr>
            <w:r>
              <w:t xml:space="preserve">22,000</w:t>
            </w:r>
          </w:p>
        </w:tc>
        <w:tc>
          <w:tcPr/>
          <w:p>
            <w:pPr>
              <w:pStyle w:val="Compact"/>
              <w:jc w:val="left"/>
            </w:pPr>
            <w:r>
              <w:t xml:space="preserve">12</w:t>
            </w:r>
          </w:p>
        </w:tc>
        <w:tc>
          <w:tcPr/>
          <w:p>
            <w:pPr>
              <w:pStyle w:val="Compact"/>
              <w:jc w:val="left"/>
            </w:pPr>
            <w:r>
              <w:t xml:space="preserve">264,000</w:t>
            </w:r>
          </w:p>
        </w:tc>
      </w:tr>
      <w:tr>
        <w:tc>
          <w:tcPr>
            <w:gridSpan w:val="5"/>
          </w:tcPr>
          <w:p>
            <w:pPr>
              <w:pStyle w:val="Compact"/>
              <w:jc w:val="left"/>
            </w:pPr>
            <w:r>
              <w:t xml:space="preserve">SUBTOTAL (CNY)</w:t>
            </w:r>
          </w:p>
        </w:tc>
        <w:tc>
          <w:tcPr/>
          <w:p>
            <w:pPr>
              <w:pStyle w:val="Compact"/>
              <w:jc w:val="left"/>
            </w:pPr>
            <w:r>
              <w:t xml:space="preserve">2,595,000</w:t>
            </w:r>
          </w:p>
        </w:tc>
      </w:tr>
      <w:tr>
        <w:tc>
          <w:tcPr>
            <w:gridSpan w:val="5"/>
          </w:tcPr>
          <w:p>
            <w:pPr>
              <w:pStyle w:val="Compact"/>
              <w:jc w:val="left"/>
            </w:pPr>
            <w:r>
              <w:t xml:space="preserve">VAT (6% – applicable to professional services in China)</w:t>
            </w:r>
          </w:p>
        </w:tc>
        <w:tc>
          <w:tcPr/>
          <w:p>
            <w:pPr>
              <w:pStyle w:val="Compact"/>
              <w:jc w:val="left"/>
            </w:pPr>
            <w:r>
              <w:t xml:space="preserve">155,700</w:t>
            </w:r>
          </w:p>
        </w:tc>
      </w:tr>
      <w:tr>
        <w:tc>
          <w:tcPr>
            <w:gridSpan w:val="5"/>
          </w:tcPr>
          <w:p>
            <w:pPr>
              <w:pStyle w:val="Compact"/>
              <w:jc w:val="left"/>
            </w:pPr>
            <w:r>
              <w:t xml:space="preserve">GRAND TOTAL (CNY)</w:t>
            </w:r>
          </w:p>
        </w:tc>
        <w:tc>
          <w:tcPr/>
          <w:p>
            <w:pPr>
              <w:pStyle w:val="Compact"/>
              <w:jc w:val="left"/>
            </w:pPr>
            <w:r>
              <w:t xml:space="preserve">2,750,700</w:t>
            </w:r>
          </w:p>
        </w:tc>
      </w:tr>
      <w:tr>
        <w:tc>
          <w:tcPr>
            <w:gridSpan w:val="5"/>
          </w:tcPr>
          <w:p>
            <w:pPr>
              <w:pStyle w:val="Compact"/>
              <w:jc w:val="left"/>
            </w:pPr>
            <w:r>
              <w:t xml:space="preserve">GRAND TOTAL (USD – approximate at 7.25 CNY/USD)</w:t>
            </w:r>
          </w:p>
        </w:tc>
        <w:tc>
          <w:tcPr/>
          <w:p>
            <w:pPr>
              <w:pStyle w:val="Compact"/>
              <w:jc w:val="left"/>
            </w:pPr>
            <w:r>
              <w:t xml:space="preserve">379,407</w:t>
            </w:r>
          </w:p>
        </w:tc>
      </w:tr>
    </w:tbl>
    <w:bookmarkEnd w:id="23"/>
    <w:bookmarkStart w:id="24" w:name="X34848c7a97f3f10ba2e73eff125ae41da32f480"/>
    <w:p>
      <w:pPr>
        <w:pStyle w:val="Heading3"/>
      </w:pPr>
      <w:r>
        <w:t xml:space="preserve">3. Professional Qualifications of the Medical Researcher</w:t>
      </w:r>
    </w:p>
    <w:p>
      <w:pPr>
        <w:pStyle w:val="FirstParagraph"/>
      </w:pPr>
      <w:r>
        <w:t xml:space="preserve">The primary</w:t>
      </w:r>
      <w:r>
        <w:t xml:space="preserve"> </w:t>
      </w:r>
      <w:r>
        <w:t xml:space="preserve">Medical Researcher</w:t>
      </w:r>
      <w:r>
        <w:t xml:space="preserve"> </w:t>
      </w:r>
      <w:r>
        <w:t xml:space="preserve">proposed for this engagement holds a Doctor of Philosophy (PhD) in Molecular Oncology from Sun Yat-sen University, Guangzhou, and possesses over twelve years of hands-on research experience in targeted therapy development. The candidate is a registered member of the Chinese Medical Association and holds valid research licenses issued by the Guangzhou Municipal Health Commission. The</w:t>
      </w:r>
      <w:r>
        <w:t xml:space="preserve"> </w:t>
      </w:r>
      <w:r>
        <w:t xml:space="preserve">Medical Researcher</w:t>
      </w:r>
      <w:r>
        <w:t xml:space="preserve"> </w:t>
      </w:r>
      <w:r>
        <w:t xml:space="preserve">has previously led three Phase I/II clinical trials registered with the NMPA and has authored over forty peer-reviewed publications in journals indexed in PubMed and the China National Knowledge Infrastructure (CNKI) database.</w:t>
      </w:r>
    </w:p>
    <w:p>
      <w:pPr>
        <w:pStyle w:val="BodyText"/>
      </w:pPr>
      <w:r>
        <w:t xml:space="preserve">The supporting junior</w:t>
      </w:r>
      <w:r>
        <w:t xml:space="preserve"> </w:t>
      </w:r>
      <w:r>
        <w:t xml:space="preserve">Medical Researcher</w:t>
      </w:r>
      <w:r>
        <w:t xml:space="preserve"> </w:t>
      </w:r>
      <w:r>
        <w:t xml:space="preserve">holds a Master of Science in Biomedical Engineering from South China University of Technology, Guangzhou, and has completed two years of post-graduate research in immunohistochemistry and flow cytometry within the</w:t>
      </w:r>
      <w:r>
        <w:t xml:space="preserve"> </w:t>
      </w:r>
      <w:r>
        <w:t xml:space="preserve">China Guangzhou</w:t>
      </w:r>
      <w:r>
        <w:t xml:space="preserve"> </w:t>
      </w:r>
      <w:r>
        <w:t xml:space="preserve">research corridor.</w:t>
      </w:r>
    </w:p>
    <w:bookmarkEnd w:id="24"/>
    <w:bookmarkStart w:id="25" w:name="X985eb999f0cfcda5f1af1a675bf0b7c2e0a6c64"/>
    <w:p>
      <w:pPr>
        <w:pStyle w:val="Heading3"/>
      </w:pPr>
      <w:r>
        <w:t xml:space="preserve">4.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pricing is subject to revision based on prevailing market conditions in</w:t>
      </w:r>
      <w:r>
        <w:t xml:space="preserve"> </w:t>
      </w:r>
      <w:r>
        <w:t xml:space="preserve">China Guangzhou</w:t>
      </w:r>
      <w:r>
        <w:t xml:space="preserve">.</w:t>
      </w:r>
    </w:p>
    <w:p>
      <w:pPr>
        <w:numPr>
          <w:ilvl w:val="0"/>
          <w:numId w:val="1001"/>
        </w:numPr>
        <w:pStyle w:val="Compact"/>
      </w:pPr>
      <w:r>
        <w:t xml:space="preserve">Payment terms: 30% advance upon acceptance of this</w:t>
      </w:r>
      <w:r>
        <w:t xml:space="preserve"> </w:t>
      </w:r>
      <w:r>
        <w:t xml:space="preserve">Quotation Estimate</w:t>
      </w:r>
      <w:r>
        <w:t xml:space="preserve">, 40% upon completion of the six-month milestone, and 30% upon final project delivery and acceptance.</w:t>
      </w:r>
    </w:p>
    <w:p>
      <w:pPr>
        <w:numPr>
          <w:ilvl w:val="0"/>
          <w:numId w:val="1001"/>
        </w:numPr>
        <w:pStyle w:val="Compact"/>
      </w:pPr>
      <w:r>
        <w:t xml:space="preserve">All payments shall be made in Chinese Yuan (CNY) via bank transfer to the designated account of Guangzhou Advanced Biomedical Research Institute Co., Ltd. International wire transfers are accepted with a 2% processing surcharge.</w:t>
      </w:r>
    </w:p>
    <w:p>
      <w:pPr>
        <w:numPr>
          <w:ilvl w:val="0"/>
          <w:numId w:val="1001"/>
        </w:numPr>
        <w:pStyle w:val="Compact"/>
      </w:pPr>
      <w:r>
        <w:t xml:space="preserve">The</w:t>
      </w:r>
      <w:r>
        <w:t xml:space="preserve"> </w:t>
      </w:r>
      <w:r>
        <w:t xml:space="preserve">Medical Researcher</w:t>
      </w:r>
      <w:r>
        <w:t xml:space="preserve"> </w:t>
      </w:r>
      <w:r>
        <w:t xml:space="preserve">engagement is governed by the Civil Code of the People's Republic of China and applicable labor and research regulations in Guangdong Province. Disputes shall be resolved through arbitration at the Guangzhou Arbitration Commission.</w:t>
      </w:r>
    </w:p>
    <w:p>
      <w:pPr>
        <w:numPr>
          <w:ilvl w:val="0"/>
          <w:numId w:val="1001"/>
        </w:numPr>
        <w:pStyle w:val="Compact"/>
      </w:pPr>
      <w:r>
        <w:t xml:space="preserve">Intellectual property generated during the course of this engagement shall be jointly owned by the client and the institute, as further detailed in a separate Intellectual Property Agreement to be executed prior to commencement.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and accompanied by the executed Master Service Agreement.</w:t>
      </w:r>
    </w:p>
    <w:p>
      <w:pPr>
        <w:numPr>
          <w:ilvl w:val="0"/>
          <w:numId w:val="1001"/>
        </w:numPr>
        <w:pStyle w:val="Compact"/>
      </w:pPr>
      <w:r>
        <w:t xml:space="preserve">Any changes to the scope of work, including additional research phases or extended timelines, will require a formal amendment to this</w:t>
      </w:r>
      <w:r>
        <w:t xml:space="preserve"> </w:t>
      </w:r>
      <w:r>
        <w:t xml:space="preserve">Quotation Estimate</w:t>
      </w:r>
      <w:r>
        <w:t xml:space="preserve"> </w:t>
      </w:r>
      <w:r>
        <w:t xml:space="preserve">in writing.</w:t>
      </w:r>
    </w:p>
    <w:p>
      <w:pPr>
        <w:numPr>
          <w:ilvl w:val="0"/>
          <w:numId w:val="1001"/>
        </w:numPr>
        <w:pStyle w:val="Compact"/>
      </w:pPr>
      <w:r>
        <w:t xml:space="preserve">The institute reserves the right to substitute the named</w:t>
      </w:r>
      <w:r>
        <w:t xml:space="preserve"> </w:t>
      </w:r>
      <w:r>
        <w:t xml:space="preserve">Medical Researcher</w:t>
      </w:r>
      <w:r>
        <w:t xml:space="preserve"> </w:t>
      </w:r>
      <w:r>
        <w:t xml:space="preserve">with an equivalently qualified professional, subject to prior written approval by the client.</w:t>
      </w:r>
    </w:p>
    <w:bookmarkEnd w:id="25"/>
    <w:bookmarkStart w:id="26" w:name="acceptance-and-authorization"/>
    <w:p>
      <w:pPr>
        <w:pStyle w:val="Heading3"/>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for the engagement of the</w:t>
      </w:r>
      <w:r>
        <w:t xml:space="preserve"> </w:t>
      </w:r>
      <w:r>
        <w:t xml:space="preserve">Medical Researcher</w:t>
      </w:r>
      <w:r>
        <w:t xml:space="preserve"> </w:t>
      </w:r>
      <w:r>
        <w:t xml:space="preserve">team in</w:t>
      </w:r>
      <w:r>
        <w:t xml:space="preserve"> </w:t>
      </w:r>
      <w:r>
        <w:t xml:space="preserve">China Guangzhou</w:t>
      </w:r>
      <w:r>
        <w:t xml:space="preserve">.</w:t>
      </w:r>
    </w:p>
    <w:p>
      <w:pPr>
        <w:pStyle w:val="BodyText"/>
      </w:pPr>
      <w:r>
        <w:rPr>
          <w:bCs/>
          <w:b/>
        </w:rPr>
        <w:t xml:space="preserve">For and on behalf of:</w:t>
      </w:r>
      <w:r>
        <w:br/>
      </w:r>
      <w:r>
        <w:t xml:space="preserve">Guangzhou Advanced Biomedical Research Institute Co., Ltd.</w:t>
      </w:r>
      <w:r>
        <w:br/>
      </w:r>
      <w:r>
        <w:br/>
      </w:r>
      <w:r>
        <w:t xml:space="preserve">Name: Dr. Wei Zhang</w:t>
      </w:r>
      <w:r>
        <w:br/>
      </w:r>
      <w:r>
        <w:t xml:space="preserve">Title: Senior Consultant, Biomedical Research Division</w:t>
      </w:r>
      <w:r>
        <w:br/>
      </w:r>
      <w:r>
        <w:t xml:space="preserve">Signature: _________________________</w:t>
      </w:r>
      <w:r>
        <w:br/>
      </w:r>
      <w:r>
        <w:t xml:space="preserve">Date: _________________________</w:t>
      </w:r>
      <w:r>
        <w:br/>
      </w:r>
      <w:r>
        <w:t xml:space="preserve">Official Seal: [APPLIED]</w:t>
      </w:r>
    </w:p>
    <w:p>
      <w:pPr>
        <w:pStyle w:val="BodyText"/>
      </w:pPr>
      <w:r>
        <w:rPr>
          <w:bCs/>
          <w:b/>
        </w:rPr>
        <w:t xml:space="preserve">For and on behalf of:</w:t>
      </w:r>
      <w:r>
        <w:br/>
      </w:r>
      <w:r>
        <w:t xml:space="preserve">International Pharmaceutical Alliance – Asia Pacific Division</w:t>
      </w:r>
      <w:r>
        <w:br/>
      </w:r>
      <w:r>
        <w:br/>
      </w:r>
      <w:r>
        <w:t xml:space="preserve">Name: _________________________</w:t>
      </w:r>
      <w:r>
        <w:br/>
      </w:r>
      <w:r>
        <w:t xml:space="preserve">Title: _________________________</w:t>
      </w:r>
      <w:r>
        <w:br/>
      </w:r>
      <w:r>
        <w:t xml:space="preserve">Signature: _________________________</w:t>
      </w:r>
      <w:r>
        <w:br/>
      </w:r>
      <w:r>
        <w:t xml:space="preserve">Date: _________________________</w:t>
      </w:r>
      <w:r>
        <w:br/>
      </w:r>
      <w:r>
        <w:t xml:space="preserve">Company Stamp: [APPLIED]</w:t>
      </w:r>
    </w:p>
    <w:p>
      <w:pPr>
        <w:pStyle w:val="BodyText"/>
      </w:pPr>
      <w:r>
        <w:t xml:space="preserve">Guangzhou Advanced Biomedical Research Institute Co., Ltd. | No. 128 Tianhe Road, Tianhe District, Guangzhou, Guangdong, China 510630</w:t>
      </w:r>
      <w:r>
        <w:br/>
      </w:r>
      <w:r>
        <w:t xml:space="preserve">Unified Social Credit Code: 91440101MA5CXXXXXX | This Quotation Estimate is generated electronically and is valid without physical signature when accompanied by the official digital seal.</w:t>
      </w:r>
      <w:r>
        <w:br/>
      </w:r>
      <w:r>
        <w:t xml:space="preserve">Document Reference: QTE-CGZ-2025-0047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Medical Researcher Services - China Guangzhou</dc:title>
  <dc:creator/>
  <dc:language>en</dc:language>
  <cp:keywords/>
  <dcterms:created xsi:type="dcterms:W3CDTF">2026-10-10T07:09:03Z</dcterms:created>
  <dcterms:modified xsi:type="dcterms:W3CDTF">2026-10-10T07:09:03Z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