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Shanghai, China | PRC</w:t>
      </w:r>
    </w:p>
    <w:p>
      <w:pPr>
        <w:pStyle w:val="BodyText"/>
      </w:pPr>
      <w:r>
        <w:t xml:space="preserve">Document Reference: QE-SH-2025-0472</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CNY (Chinese Yuan)</w:t>
      </w:r>
    </w:p>
    <w:p>
      <w:pPr>
        <w:pStyle w:val="BodyText"/>
      </w:pPr>
      <w:r>
        <w:rPr>
          <w:bCs/>
          <w:b/>
        </w:rPr>
        <w:t xml:space="preserve">Page:</w:t>
      </w:r>
      <w:r>
        <w:t xml:space="preserve"> </w:t>
      </w:r>
      <w:r>
        <w:t xml:space="preserve">1 of 1</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Provider</w:t>
            </w:r>
          </w:p>
        </w:tc>
        <w:tc>
          <w:tcPr/>
          <w:p>
            <w:pPr>
              <w:pStyle w:val="Compact"/>
              <w:jc w:val="left"/>
            </w:pPr>
            <w:r>
              <w:t xml:space="preserve">Shanghai Biomedical Research Consortium Co., Ltd.</w:t>
            </w:r>
          </w:p>
        </w:tc>
        <w:tc>
          <w:tcPr/>
          <w:p>
            <w:pPr>
              <w:pStyle w:val="Compact"/>
              <w:jc w:val="left"/>
            </w:pPr>
            <w:r>
              <w:t xml:space="preserve">88 Pudong Avenue, Lujiazui Financial District, Shanghai 200120, China</w:t>
            </w:r>
          </w:p>
        </w:tc>
        <w:tc>
          <w:tcPr/>
          <w:p>
            <w:pPr>
              <w:pStyle w:val="Compact"/>
              <w:jc w:val="left"/>
            </w:pPr>
            <w:r>
              <w:t xml:space="preserve">research@shbrc.cn | +86-21-5888-6700</w:t>
            </w:r>
          </w:p>
        </w:tc>
      </w:tr>
      <w:tr>
        <w:tc>
          <w:tcPr/>
          <w:p>
            <w:pPr>
              <w:pStyle w:val="Compact"/>
              <w:jc w:val="left"/>
            </w:pPr>
            <w:r>
              <w:rPr>
                <w:bCs/>
                <w:b/>
              </w:rPr>
              <w:t xml:space="preserve">Client</w:t>
            </w:r>
          </w:p>
        </w:tc>
        <w:tc>
          <w:tcPr/>
          <w:p>
            <w:pPr>
              <w:pStyle w:val="Compact"/>
              <w:jc w:val="left"/>
            </w:pPr>
            <w:r>
              <w:t xml:space="preserve">East China University of Medical Sciences – Department of Clinical Immunology</w:t>
            </w:r>
          </w:p>
        </w:tc>
        <w:tc>
          <w:tcPr/>
          <w:p>
            <w:pPr>
              <w:pStyle w:val="Compact"/>
              <w:jc w:val="left"/>
            </w:pPr>
            <w:r>
              <w:t xml:space="preserve">393 Mancheng Road, Pudong New Area, Shanghai 200025, China</w:t>
            </w:r>
          </w:p>
        </w:tc>
        <w:tc>
          <w:tcPr/>
          <w:p>
            <w:pPr>
              <w:pStyle w:val="Compact"/>
              <w:jc w:val="left"/>
            </w:pPr>
            <w:r>
              <w:t xml:space="preserve">procurement@ecums.edu.cn | +86-21-6377-0000</w:t>
            </w:r>
          </w:p>
        </w:tc>
      </w:tr>
    </w:tbl>
    <w:bookmarkEnd w:id="21"/>
    <w:bookmarkStart w:id="22" w:name="Xb1e69cda2657fb3522d5f06f68500be55311324"/>
    <w:p>
      <w:pPr>
        <w:pStyle w:val="Heading2"/>
      </w:pPr>
      <w:r>
        <w:t xml:space="preserve">2. Scope of Services – Medical Researcher Engagement</w:t>
      </w:r>
    </w:p>
    <w:p>
      <w:pPr>
        <w:pStyle w:val="FirstParagraph"/>
      </w:pPr>
      <w:r>
        <w:t xml:space="preserve">This</w:t>
      </w:r>
      <w:r>
        <w:t xml:space="preserve"> </w:t>
      </w:r>
      <w:r>
        <w:t xml:space="preserve">Quotation Estimate</w:t>
      </w:r>
      <w:r>
        <w:t xml:space="preserve"> </w:t>
      </w:r>
      <w:r>
        <w:t xml:space="preserve">is issued in response to the formal request for a qualified</w:t>
      </w:r>
      <w:r>
        <w:t xml:space="preserve"> </w:t>
      </w:r>
      <w:r>
        <w:t xml:space="preserve">Medical Researcher</w:t>
      </w:r>
      <w:r>
        <w:t xml:space="preserve"> </w:t>
      </w:r>
      <w:r>
        <w:t xml:space="preserve">to support a 24-month longitudinal study on autoimmune disease pathways. The engagement is to be conducted within the</w:t>
      </w:r>
      <w:r>
        <w:t xml:space="preserve"> </w:t>
      </w:r>
      <w:r>
        <w:t xml:space="preserve">China Shanghai</w:t>
      </w:r>
      <w:r>
        <w:t xml:space="preserve"> </w:t>
      </w:r>
      <w:r>
        <w:t xml:space="preserve">metropolitan area, with primary laboratory operations based in the Zhangjiang Hi-Tech Park and secondary fieldwork across affiliated hospitals in the Pudong and Xuhui districts. The</w:t>
      </w:r>
      <w:r>
        <w:t xml:space="preserve"> </w:t>
      </w:r>
      <w:r>
        <w:t xml:space="preserve">Medical Researcher</w:t>
      </w:r>
      <w:r>
        <w:t xml:space="preserve"> </w:t>
      </w:r>
      <w:r>
        <w:t xml:space="preserve">shall possess a minimum of a Ph.D. in Immunology or a related biomedical discipline, with no fewer than five (5) years of post-doctoral experience in clinical trial design and molecular diagnostics.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(CNY)</w:t>
            </w:r>
          </w:p>
        </w:tc>
        <w:tc>
          <w:tcPr/>
          <w:p>
            <w:pPr>
              <w:pStyle w:val="Compact"/>
              <w:jc w:val="left"/>
            </w:pPr>
            <w:r>
              <w:t xml:space="preserve">Quantity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Medical Researcher – Monthly Retainer (Ph.D. level, full-time, 40 hrs/week)</w:t>
            </w:r>
          </w:p>
        </w:tc>
        <w:tc>
          <w:tcPr/>
          <w:p>
            <w:pPr>
              <w:pStyle w:val="Compact"/>
              <w:jc w:val="left"/>
            </w:pPr>
            <w:r>
              <w:t xml:space="preserve">24 months</w:t>
            </w:r>
          </w:p>
        </w:tc>
        <w:tc>
          <w:tcPr/>
          <w:p>
            <w:pPr>
              <w:pStyle w:val="Compact"/>
              <w:jc w:val="left"/>
            </w:pPr>
            <w:r>
              <w:t xml:space="preserve">85,000</w:t>
            </w:r>
          </w:p>
        </w:tc>
        <w:tc>
          <w:tcPr/>
          <w:p>
            <w:pPr>
              <w:pStyle w:val="Compact"/>
              <w:jc w:val="left"/>
            </w:pPr>
            <w:r>
              <w:t xml:space="preserve">24</w:t>
            </w:r>
          </w:p>
        </w:tc>
        <w:tc>
          <w:tcPr/>
          <w:p>
            <w:pPr>
              <w:pStyle w:val="Compact"/>
              <w:jc w:val="left"/>
            </w:pPr>
            <w:r>
              <w:t xml:space="preserve">2,040,000</w:t>
            </w:r>
          </w:p>
        </w:tc>
      </w:tr>
      <w:tr>
        <w:tc>
          <w:tcPr/>
          <w:p>
            <w:pPr>
              <w:pStyle w:val="Compact"/>
              <w:jc w:val="left"/>
            </w:pPr>
            <w:r>
              <w:t xml:space="preserve">02</w:t>
            </w:r>
          </w:p>
        </w:tc>
        <w:tc>
          <w:tcPr/>
          <w:p>
            <w:pPr>
              <w:pStyle w:val="Compact"/>
              <w:jc w:val="left"/>
            </w:pPr>
            <w:r>
              <w:t xml:space="preserve">Junior Research Assistant – Monthly Retainer (M.Sc. level, full-time)</w:t>
            </w:r>
          </w:p>
        </w:tc>
        <w:tc>
          <w:tcPr/>
          <w:p>
            <w:pPr>
              <w:pStyle w:val="Compact"/>
              <w:jc w:val="left"/>
            </w:pPr>
            <w:r>
              <w:t xml:space="preserve">24 months</w:t>
            </w:r>
          </w:p>
        </w:tc>
        <w:tc>
          <w:tcPr/>
          <w:p>
            <w:pPr>
              <w:pStyle w:val="Compact"/>
              <w:jc w:val="left"/>
            </w:pPr>
            <w:r>
              <w:t xml:space="preserve">32,000</w:t>
            </w:r>
          </w:p>
        </w:tc>
        <w:tc>
          <w:tcPr/>
          <w:p>
            <w:pPr>
              <w:pStyle w:val="Compact"/>
              <w:jc w:val="left"/>
            </w:pPr>
            <w:r>
              <w:t xml:space="preserve">24</w:t>
            </w:r>
          </w:p>
        </w:tc>
        <w:tc>
          <w:tcPr/>
          <w:p>
            <w:pPr>
              <w:pStyle w:val="Compact"/>
              <w:jc w:val="left"/>
            </w:pPr>
            <w:r>
              <w:t xml:space="preserve">768,000</w:t>
            </w:r>
          </w:p>
        </w:tc>
      </w:tr>
      <w:tr>
        <w:tc>
          <w:tcPr/>
          <w:p>
            <w:pPr>
              <w:pStyle w:val="Compact"/>
              <w:jc w:val="left"/>
            </w:pPr>
            <w:r>
              <w:t xml:space="preserve">03</w:t>
            </w:r>
          </w:p>
        </w:tc>
        <w:tc>
          <w:tcPr/>
          <w:p>
            <w:pPr>
              <w:pStyle w:val="Compact"/>
              <w:jc w:val="left"/>
            </w:pPr>
            <w:r>
              <w:t xml:space="preserve">Laboratory Consumables &amp; Reagents (PCR kits, antibodies, cell culture media)</w:t>
            </w:r>
          </w:p>
        </w:tc>
        <w:tc>
          <w:tcPr/>
          <w:p>
            <w:pPr>
              <w:pStyle w:val="Compact"/>
              <w:jc w:val="left"/>
            </w:pPr>
            <w:r>
              <w:t xml:space="preserve">24 months</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High-Performance Computing Access (Bioinformatics &amp; Genomic Sequencing)</w:t>
            </w:r>
          </w:p>
        </w:tc>
        <w:tc>
          <w:tcPr/>
          <w:p>
            <w:pPr>
              <w:pStyle w:val="Compact"/>
              <w:jc w:val="left"/>
            </w:pPr>
            <w:r>
              <w:t xml:space="preserve">24 months</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Regulatory Compliance &amp; Ethics Board Filing (NMPA / Shanghai Municipal Health Commission)</w:t>
            </w:r>
          </w:p>
        </w:tc>
        <w:tc>
          <w:tcPr/>
          <w:p>
            <w:pPr>
              <w:pStyle w:val="Compact"/>
              <w:jc w:val="left"/>
            </w:pPr>
            <w:r>
              <w:t xml:space="preserve">One-time</w:t>
            </w:r>
          </w:p>
        </w:tc>
        <w:tc>
          <w:tcPr/>
          <w:p>
            <w:pPr>
              <w:pStyle w:val="Compact"/>
              <w:jc w:val="left"/>
            </w:pPr>
            <w:r>
              <w:t xml:space="preserve">68,000</w:t>
            </w:r>
          </w:p>
        </w:tc>
        <w:tc>
          <w:tcPr/>
          <w:p>
            <w:pPr>
              <w:pStyle w:val="Compact"/>
              <w:jc w:val="left"/>
            </w:pPr>
            <w:r>
              <w:t xml:space="preserve">1</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Publication Support (Peer-reviewed journal fees, open-access charges, English editing)</w:t>
            </w:r>
          </w:p>
        </w:tc>
        <w:tc>
          <w:tcPr/>
          <w:p>
            <w:pPr>
              <w:pStyle w:val="Compact"/>
              <w:jc w:val="left"/>
            </w:pPr>
            <w:r>
              <w:t xml:space="preserve">24 months</w:t>
            </w:r>
          </w:p>
        </w:tc>
        <w:tc>
          <w:tcPr/>
          <w:p>
            <w:pPr>
              <w:pStyle w:val="Compact"/>
              <w:jc w:val="left"/>
            </w:pPr>
            <w:r>
              <w:t xml:space="preserve">35,000</w:t>
            </w:r>
          </w:p>
        </w:tc>
        <w:tc>
          <w:tcPr/>
          <w:p>
            <w:pPr>
              <w:pStyle w:val="Compact"/>
              <w:jc w:val="left"/>
            </w:pPr>
            <w:r>
              <w:t xml:space="preserve">4</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Travel &amp; Fieldwork within China Shanghai (Hospital visits, patient recruitment, sample collection)</w:t>
            </w:r>
          </w:p>
        </w:tc>
        <w:tc>
          <w:tcPr/>
          <w:p>
            <w:pPr>
              <w:pStyle w:val="Compact"/>
              <w:jc w:val="left"/>
            </w:pPr>
            <w:r>
              <w:t xml:space="preserve">24 months</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288,000</w:t>
            </w:r>
          </w:p>
        </w:tc>
      </w:tr>
      <w:tr>
        <w:tc>
          <w:tcPr/>
          <w:p>
            <w:pPr>
              <w:pStyle w:val="Compact"/>
              <w:jc w:val="left"/>
            </w:pPr>
            <w:r>
              <w:t xml:space="preserve">08</w:t>
            </w:r>
          </w:p>
        </w:tc>
        <w:tc>
          <w:tcPr/>
          <w:p>
            <w:pPr>
              <w:pStyle w:val="Compact"/>
              <w:jc w:val="left"/>
            </w:pPr>
            <w:r>
              <w:t xml:space="preserve">Project Management &amp; Administrative Oversight</w:t>
            </w:r>
          </w:p>
        </w:tc>
        <w:tc>
          <w:tcPr/>
          <w:p>
            <w:pPr>
              <w:pStyle w:val="Compact"/>
              <w:jc w:val="left"/>
            </w:pPr>
            <w:r>
              <w:t xml:space="preserve">24 months</w:t>
            </w:r>
          </w:p>
        </w:tc>
        <w:tc>
          <w:tcPr/>
          <w:p>
            <w:pPr>
              <w:pStyle w:val="Compact"/>
              <w:jc w:val="left"/>
            </w:pPr>
            <w:r>
              <w:t xml:space="preserve">28,000</w:t>
            </w:r>
          </w:p>
        </w:tc>
        <w:tc>
          <w:tcPr/>
          <w:p>
            <w:pPr>
              <w:pStyle w:val="Compact"/>
              <w:jc w:val="left"/>
            </w:pPr>
            <w:r>
              <w:t xml:space="preserve">24</w:t>
            </w:r>
          </w:p>
        </w:tc>
        <w:tc>
          <w:tcPr/>
          <w:p>
            <w:pPr>
              <w:pStyle w:val="Compact"/>
              <w:jc w:val="left"/>
            </w:pPr>
            <w:r>
              <w:t xml:space="preserve">672,000</w:t>
            </w:r>
          </w:p>
        </w:tc>
      </w:tr>
      <w:tr>
        <w:tc>
          <w:tcPr>
            <w:gridSpan w:val="5"/>
          </w:tcPr>
          <w:p>
            <w:pPr>
              <w:pStyle w:val="Compact"/>
              <w:jc w:val="right"/>
            </w:pPr>
            <w:r>
              <w:t xml:space="preserve">TOTAL ESTIMATED COST (CNY)</w:t>
            </w:r>
          </w:p>
        </w:tc>
        <w:tc>
          <w:tcPr/>
          <w:p>
            <w:pPr>
              <w:pStyle w:val="Compact"/>
              <w:jc w:val="left"/>
            </w:pPr>
            <w:r>
              <w:t xml:space="preserve">7,936,000</w:t>
            </w:r>
          </w:p>
        </w:tc>
      </w:tr>
      <w:tr>
        <w:tc>
          <w:tcPr>
            <w:gridSpan w:val="5"/>
          </w:tcPr>
          <w:p>
            <w:pPr>
              <w:pStyle w:val="Compact"/>
              <w:jc w:val="right"/>
            </w:pPr>
            <w:r>
              <w:t xml:space="preserve">VAT (6% – Professional Services, PRC)</w:t>
            </w:r>
          </w:p>
        </w:tc>
        <w:tc>
          <w:tcPr/>
          <w:p>
            <w:pPr>
              <w:pStyle w:val="Compact"/>
              <w:jc w:val="left"/>
            </w:pPr>
            <w:r>
              <w:t xml:space="preserve">476,160</w:t>
            </w:r>
          </w:p>
        </w:tc>
      </w:tr>
      <w:tr>
        <w:tc>
          <w:tcPr>
            <w:gridSpan w:val="5"/>
          </w:tcPr>
          <w:p>
            <w:pPr>
              <w:pStyle w:val="Compact"/>
              <w:jc w:val="right"/>
            </w:pPr>
            <w:r>
              <w:t xml:space="preserve">GRAND TOTAL (CNY, VAT Inclusive)</w:t>
            </w:r>
          </w:p>
        </w:tc>
        <w:tc>
          <w:tcPr/>
          <w:p>
            <w:pPr>
              <w:pStyle w:val="Compact"/>
              <w:jc w:val="left"/>
            </w:pPr>
            <w:r>
              <w:t xml:space="preserve">8,412,160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shall remain valid for a period of ninety (90) calendar days from the date of issue. Any acceptance beyond this period requires written reconfirmation of pricing.</w:t>
      </w:r>
    </w:p>
    <w:p>
      <w:pPr>
        <w:numPr>
          <w:ilvl w:val="0"/>
          <w:numId w:val="1001"/>
        </w:numPr>
        <w:pStyle w:val="Compact"/>
      </w:pPr>
      <w:r>
        <w:rPr>
          <w:bCs/>
          <w:b/>
        </w:rPr>
        <w:t xml:space="preserve">Payment Schedule:</w:t>
      </w:r>
      <w:r>
        <w:t xml:space="preserve"> </w:t>
      </w:r>
      <w:r>
        <w:t xml:space="preserve">30% advance payment upon contract execution; 40% upon completion of Month 12; 30% upon final delivery and acceptance of all research deliverables. All payments shall be made via bank transfer to the provider's designated account in Shanghai, China.</w:t>
      </w:r>
    </w:p>
    <w:p>
      <w:pPr>
        <w:numPr>
          <w:ilvl w:val="0"/>
          <w:numId w:val="1001"/>
        </w:numPr>
        <w:pStyle w:val="Compact"/>
      </w:pPr>
      <w:r>
        <w:rPr>
          <w:bCs/>
          <w:b/>
        </w:rPr>
        <w:t xml:space="preserve">Intellectual Property:</w:t>
      </w:r>
      <w:r>
        <w:t xml:space="preserve"> </w:t>
      </w:r>
      <w:r>
        <w:t xml:space="preserve">All data, publications, and proprietary methodologies generated by the Medical Researcher during the engagement shall be jointly owned by the Client and Provider, as stipulated in the separate Intellectual Property Addendum.</w:t>
      </w:r>
    </w:p>
    <w:p>
      <w:pPr>
        <w:numPr>
          <w:ilvl w:val="0"/>
          <w:numId w:val="1001"/>
        </w:numPr>
        <w:pStyle w:val="Compact"/>
      </w:pPr>
      <w:r>
        <w:rPr>
          <w:bCs/>
          <w:b/>
        </w:rPr>
        <w:t xml:space="preserve">Compliance:</w:t>
      </w:r>
      <w:r>
        <w:t xml:space="preserve"> </w:t>
      </w:r>
      <w:r>
        <w:t xml:space="preserve">The Medical Researcher and all supporting personnel shall comply with the Drug Administration Law of the People's Republic of China, the Human Genetic Resources Administration Regulations, and all applicable Shanghai municipal health and safety codes.</w:t>
      </w:r>
    </w:p>
    <w:p>
      <w:pPr>
        <w:numPr>
          <w:ilvl w:val="0"/>
          <w:numId w:val="1001"/>
        </w:numPr>
        <w:pStyle w:val="Compact"/>
      </w:pPr>
      <w:r>
        <w:rPr>
          <w:bCs/>
          <w:b/>
        </w:rPr>
        <w:t xml:space="preserve">Confidentiality:</w:t>
      </w:r>
      <w:r>
        <w:t xml:space="preserve"> </w:t>
      </w:r>
      <w:r>
        <w:t xml:space="preserve">All patient data and unpublished research findings are subject to a mutual Non-Disclosure Agreement (NDA) with a survival period of five (5) years post-engagement.</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the Client shall be liable for all costs incurred up to the termination date plus a 10% administrative fee.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People's Republic of China. Disputes shall be resolved through arbitration at the Shanghai International Arbitration Center (SHIAC).</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public health emergencies, government-mandated closures, or natural disasters affecting the China Shanghai region.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outlined herein. The Medical Researcher engagement shall commence no earlier than thirty (30) days following full receipt of the advance payment and completion of all regulatory filings with the Shanghai Municipal Health Commission.</w:t>
      </w:r>
    </w:p>
    <w:p>
      <w:pPr>
        <w:pStyle w:val="BodyText"/>
      </w:pPr>
      <w:r>
        <w:rPr>
          <w:bCs/>
          <w:b/>
        </w:rPr>
        <w:t xml:space="preserve">For: Shanghai Biomedical Research Consortium Co., Ltd.</w:t>
      </w:r>
      <w:r>
        <w:br/>
      </w:r>
      <w:r>
        <w:t xml:space="preserve">Name: Dr. Wei Zhang</w:t>
      </w:r>
      <w:r>
        <w:br/>
      </w:r>
      <w:r>
        <w:t xml:space="preserve">Title: Director of Research Operations</w:t>
      </w:r>
      <w:r>
        <w:br/>
      </w:r>
      <w:r>
        <w:t xml:space="preserve">Date: _______________</w:t>
      </w:r>
    </w:p>
    <w:p>
      <w:pPr>
        <w:pStyle w:val="BodyText"/>
      </w:pPr>
      <w:r>
        <w:rPr>
          <w:bCs/>
          <w:b/>
        </w:rPr>
        <w:t xml:space="preserve">For: East China University of Medical Sciences</w:t>
      </w:r>
      <w:r>
        <w:br/>
      </w:r>
      <w:r>
        <w:t xml:space="preserve">Name: Prof. Li Minghua</w:t>
      </w:r>
      <w:r>
        <w:br/>
      </w:r>
      <w:r>
        <w:t xml:space="preserve">Title: Head of Clinical Immunology</w:t>
      </w:r>
      <w:r>
        <w:br/>
      </w:r>
      <w:r>
        <w:t xml:space="preserve">Date: _______________</w:t>
      </w:r>
    </w:p>
    <w:p>
      <w:pPr>
        <w:pStyle w:val="BodyText"/>
      </w:pPr>
      <w:r>
        <w:t xml:space="preserve">This Quotation Estimate is a non-binding document until formally accepted in writing by both parties. All figures are estimates and subject to final contract negotiation. Prepared in accordance with PRC Accounting Standards. Document QE-SH-2025-0472 | Shanghai, China |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China Shanghai</dc:title>
  <dc:creator/>
  <dc:language>en</dc:language>
  <cp:keywords/>
  <dcterms:created xsi:type="dcterms:W3CDTF">2026-10-10T03:51:42Z</dcterms:created>
  <dcterms:modified xsi:type="dcterms:W3CDTF">2026-10-10T03:51:42Z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