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Andes Biomedical Research Solutions S.A.S.</w:t>
      </w:r>
    </w:p>
    <w:p>
      <w:pPr>
        <w:pStyle w:val="BodyText"/>
      </w:pPr>
      <w:r>
        <w:t xml:space="preserve">Calle 43 # 43A-12, El Poblado, Medellín, Antioquia, Colombia</w:t>
      </w:r>
    </w:p>
    <w:p>
      <w:pPr>
        <w:pStyle w:val="BodyText"/>
      </w:pPr>
      <w:r>
        <w:t xml:space="preserve">NIT: 901.234.567-8 | RUT: 9012345678 | Phone: +57 (604) 444 5566 | Email: estimates@andesbiomedical.co</w:t>
      </w:r>
    </w:p>
    <w:p>
      <w:pPr>
        <w:pStyle w:val="BodyText"/>
      </w:pPr>
      <w:r>
        <w:rPr>
          <w:bCs/>
          <w:b/>
        </w:rPr>
        <w:t xml:space="preserve">Quotation Estimate No.: QME-2025-00487</w:t>
      </w:r>
    </w:p>
    <w:p>
      <w:pPr>
        <w:pStyle w:val="BodyText"/>
      </w:pPr>
      <w:r>
        <w:t xml:space="preserve">Date of Issue: June 12, 2025</w:t>
      </w:r>
    </w:p>
    <w:p>
      <w:pPr>
        <w:pStyle w:val="BodyText"/>
      </w:pPr>
      <w:r>
        <w:t xml:space="preserve">Validity Period: 30 calendar days from date of issue</w:t>
      </w:r>
    </w:p>
    <w:bookmarkEnd w:id="20"/>
    <w:p>
      <w:pPr>
        <w:pStyle w:val="BodyText"/>
      </w:pPr>
      <w:r>
        <w:rPr>
          <w:bCs/>
          <w:b/>
        </w:rPr>
        <w:t xml:space="preserve">Prepared For (Client):</w:t>
      </w:r>
    </w:p>
    <w:p>
      <w:pPr>
        <w:pStyle w:val="BodyText"/>
      </w:pPr>
      <w:r>
        <w:t xml:space="preserve">Instituto Nacional de Salud – Regional Office</w:t>
      </w:r>
    </w:p>
    <w:p>
      <w:pPr>
        <w:pStyle w:val="BodyText"/>
      </w:pPr>
      <w:r>
        <w:t xml:space="preserve">Carrera 50 # 26-21, Medellín, Antioquia, Colombia</w:t>
      </w:r>
    </w:p>
    <w:p>
      <w:pPr>
        <w:pStyle w:val="BodyText"/>
      </w:pPr>
      <w:r>
        <w:t xml:space="preserve">Attn: Dr. Carolina Restrepo, Director of Clinical Research</w:t>
      </w:r>
    </w:p>
    <w:p>
      <w:pPr>
        <w:pStyle w:val="BodyText"/>
      </w:pPr>
      <w:r>
        <w:t xml:space="preserve">Contact: c.restrepo@ins.gov.co</w:t>
      </w:r>
    </w:p>
    <w:p>
      <w:pPr>
        <w:pStyle w:val="BodyText"/>
      </w:pPr>
      <w:r>
        <w:rPr>
          <w:bCs/>
          <w:b/>
        </w:rPr>
        <w:t xml:space="preserve">Prepared By (Provider):</w:t>
      </w:r>
    </w:p>
    <w:p>
      <w:pPr>
        <w:pStyle w:val="BodyText"/>
      </w:pPr>
      <w:r>
        <w:t xml:space="preserve">Andes Biomedical Research Solutions S.A.S.</w:t>
      </w:r>
    </w:p>
    <w:p>
      <w:pPr>
        <w:pStyle w:val="BodyText"/>
      </w:pPr>
      <w:r>
        <w:t xml:space="preserve">Attn: Dr. Alejandro Vargas, Senior Project Manager</w:t>
      </w:r>
    </w:p>
    <w:p>
      <w:pPr>
        <w:pStyle w:val="BodyText"/>
      </w:pPr>
      <w:r>
        <w:t xml:space="preserve">Contact: a.vargas@andesbiomedical.co</w:t>
      </w:r>
    </w:p>
    <w:p>
      <w:pPr>
        <w:pStyle w:val="BodyText"/>
      </w:pPr>
      <w:r>
        <w:t xml:space="preserve">Professional License: CRM 2019-4456 (Colombia)</w:t>
      </w:r>
    </w:p>
    <w:bookmarkStart w:id="21" w:name="purpose-of-this-quotation-estimate"/>
    <w:p>
      <w:pPr>
        <w:pStyle w:val="Heading2"/>
      </w:pPr>
      <w:r>
        <w:t xml:space="preserve">1. Purpose of This Quotation Estimate</w:t>
      </w:r>
    </w:p>
    <w:p>
      <w:pPr>
        <w:pStyle w:val="FirstParagraph"/>
      </w:pPr>
      <w:r>
        <w:t xml:space="preserve">This Quotation Estimate is issued by Andes Biomedical Research Solutions S.A.S. to formally present the cost structure, scope of work, and professional terms for the engagement of a qualified</w:t>
      </w:r>
      <w:r>
        <w:t xml:space="preserve"> </w:t>
      </w:r>
      <w:r>
        <w:rPr>
          <w:bCs/>
          <w:b/>
        </w:rPr>
        <w:t xml:space="preserve">Medical Researcher</w:t>
      </w:r>
      <w:r>
        <w:t xml:space="preserve"> </w:t>
      </w:r>
      <w:r>
        <w:t xml:space="preserve">to support ongoing clinical and epidemiological studies conducted in</w:t>
      </w:r>
      <w:r>
        <w:t xml:space="preserve"> </w:t>
      </w:r>
      <w:r>
        <w:rPr>
          <w:bCs/>
          <w:b/>
        </w:rPr>
        <w:t xml:space="preserve">Colombia Medellín</w:t>
      </w:r>
      <w:r>
        <w:t xml:space="preserve">. This document serves as a binding financial proposal for the client's review and approval. All pricing, deliverables, and conditions outlined herein are specific to the Medical Researcher role and the operational context of Colombia Medellín, where regulatory compliance with the Ministry of Health (Ministerio de Salud y Protección Social) and local institutional review boards is mandatory.</w:t>
      </w:r>
    </w:p>
    <w:bookmarkEnd w:id="21"/>
    <w:bookmarkStart w:id="22" w:name="Xb1e69cda2657fb3522d5f06f68500be55311324"/>
    <w:p>
      <w:pPr>
        <w:pStyle w:val="Heading2"/>
      </w:pPr>
      <w:r>
        <w:t xml:space="preserve">2. Scope of Services – Medical Researcher Engagement</w:t>
      </w:r>
    </w:p>
    <w:p>
      <w:pPr>
        <w:pStyle w:val="FirstParagraph"/>
      </w:pPr>
      <w:r>
        <w:t xml:space="preserve">The Medical Researcher engaged under this Quotation Estimate will provide the following professional services within the Colombia Medellín metropolitan area and surrounding Antioquia department:</w:t>
      </w:r>
    </w:p>
    <w:p>
      <w:pPr>
        <w:numPr>
          <w:ilvl w:val="0"/>
          <w:numId w:val="1001"/>
        </w:numPr>
        <w:pStyle w:val="Compact"/>
      </w:pPr>
      <w:r>
        <w:t xml:space="preserve">Design and execution of clinical trial protocols in compliance with Colombian regulatory framework (Resolution 3165 of 2009 and GCP guidelines).</w:t>
      </w:r>
    </w:p>
    <w:p>
      <w:pPr>
        <w:numPr>
          <w:ilvl w:val="0"/>
          <w:numId w:val="1001"/>
        </w:numPr>
        <w:pStyle w:val="Compact"/>
      </w:pPr>
      <w:r>
        <w:t xml:space="preserve">Conduct of epidemiological field studies, data collection, and statistical analysis in collaboration with local hospitals including Hospital Universitario San Vicente de Paúl and Clínica Las Américas in Medellín.</w:t>
      </w:r>
    </w:p>
    <w:p>
      <w:pPr>
        <w:numPr>
          <w:ilvl w:val="0"/>
          <w:numId w:val="1001"/>
        </w:numPr>
        <w:pStyle w:val="Compact"/>
      </w:pPr>
      <w:r>
        <w:t xml:space="preserve">Preparation of scientific manuscripts, research reports, and regulatory submissions for the Colombian Institute of Medical Sciences (Instituto Nacional de Ciencias Médicas).</w:t>
      </w:r>
    </w:p>
    <w:p>
      <w:pPr>
        <w:numPr>
          <w:ilvl w:val="0"/>
          <w:numId w:val="1001"/>
        </w:numPr>
        <w:pStyle w:val="Compact"/>
      </w:pPr>
      <w:r>
        <w:t xml:space="preserve">Oversight of laboratory sample processing and quality assurance at accredited facilities in Colombia Medellín.</w:t>
      </w:r>
    </w:p>
    <w:p>
      <w:pPr>
        <w:numPr>
          <w:ilvl w:val="0"/>
          <w:numId w:val="1001"/>
        </w:numPr>
        <w:pStyle w:val="Compact"/>
      </w:pPr>
      <w:r>
        <w:t xml:space="preserve">Monthly progress reporting and quarterly presentations to the client's scientific advisory board.</w:t>
      </w:r>
    </w:p>
    <w:p>
      <w:pPr>
        <w:numPr>
          <w:ilvl w:val="0"/>
          <w:numId w:val="1001"/>
        </w:numPr>
        <w:pStyle w:val="Compact"/>
      </w:pPr>
      <w:r>
        <w:t xml:space="preserve">Mentorship and supervision of up to four (4) junior research assistants based in Medellín.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Quantity</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Medical Researcher – Senior (MD, PhD) – Monthly Professional Fee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12</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Medical Researcher – Protocol Development &amp; Regulatory Filing (per protocol)</w:t>
            </w:r>
          </w:p>
        </w:tc>
        <w:tc>
          <w:tcPr/>
          <w:p>
            <w:pPr>
              <w:pStyle w:val="Compact"/>
              <w:jc w:val="left"/>
            </w:pPr>
            <w:r>
              <w:t xml:space="preserve">Per deliverable</w:t>
            </w:r>
          </w:p>
        </w:tc>
        <w:tc>
          <w:tcPr/>
          <w:p>
            <w:pPr>
              <w:pStyle w:val="Compact"/>
              <w:jc w:val="left"/>
            </w:pPr>
            <w:r>
              <w:t xml:space="preserve">7,200,000</w:t>
            </w:r>
          </w:p>
        </w:tc>
        <w:tc>
          <w:tcPr/>
          <w:p>
            <w:pPr>
              <w:pStyle w:val="Compact"/>
              <w:jc w:val="left"/>
            </w:pPr>
            <w:r>
              <w:t xml:space="preserve">3</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Field Research Coordination – Colombia Medellín (travel, logistics, site visits)</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12</w:t>
            </w:r>
          </w:p>
        </w:tc>
        <w:tc>
          <w:tcPr/>
          <w:p>
            <w:pPr>
              <w:pStyle w:val="Compact"/>
              <w:jc w:val="left"/>
            </w:pPr>
            <w:r>
              <w:t xml:space="preserve">45,600,000</w:t>
            </w:r>
          </w:p>
        </w:tc>
      </w:tr>
      <w:tr>
        <w:tc>
          <w:tcPr/>
          <w:p>
            <w:pPr>
              <w:pStyle w:val="Compact"/>
              <w:jc w:val="left"/>
            </w:pPr>
            <w:r>
              <w:t xml:space="preserve">04</w:t>
            </w:r>
          </w:p>
        </w:tc>
        <w:tc>
          <w:tcPr/>
          <w:p>
            <w:pPr>
              <w:pStyle w:val="Compact"/>
              <w:jc w:val="left"/>
            </w:pPr>
            <w:r>
              <w:t xml:space="preserve">Laboratory Consumables &amp; Sample Processing (allocated to Medical Researcher)</w:t>
            </w:r>
          </w:p>
        </w:tc>
        <w:tc>
          <w:tcPr/>
          <w:p>
            <w:pPr>
              <w:pStyle w:val="Compact"/>
              <w:jc w:val="left"/>
            </w:pPr>
            <w:r>
              <w:t xml:space="preserve">12 months</w:t>
            </w:r>
          </w:p>
        </w:tc>
        <w:tc>
          <w:tcPr/>
          <w:p>
            <w:pPr>
              <w:pStyle w:val="Compact"/>
              <w:jc w:val="left"/>
            </w:pPr>
            <w:r>
              <w:t xml:space="preserve">5,400,000</w:t>
            </w:r>
          </w:p>
        </w:tc>
        <w:tc>
          <w:tcPr/>
          <w:p>
            <w:pPr>
              <w:pStyle w:val="Compact"/>
              <w:jc w:val="left"/>
            </w:pPr>
            <w:r>
              <w:t xml:space="preserve">12</w:t>
            </w:r>
          </w:p>
        </w:tc>
        <w:tc>
          <w:tcPr/>
          <w:p>
            <w:pPr>
              <w:pStyle w:val="Compact"/>
              <w:jc w:val="left"/>
            </w:pPr>
            <w:r>
              <w:t xml:space="preserve">64,800,000</w:t>
            </w:r>
          </w:p>
        </w:tc>
      </w:tr>
      <w:tr>
        <w:tc>
          <w:tcPr/>
          <w:p>
            <w:pPr>
              <w:pStyle w:val="Compact"/>
              <w:jc w:val="left"/>
            </w:pPr>
            <w:r>
              <w:t xml:space="preserve">05</w:t>
            </w:r>
          </w:p>
        </w:tc>
        <w:tc>
          <w:tcPr/>
          <w:p>
            <w:pPr>
              <w:pStyle w:val="Compact"/>
              <w:jc w:val="left"/>
            </w:pPr>
            <w:r>
              <w:t xml:space="preserve">Statistical Analysis &amp; Data Management Software License</w:t>
            </w:r>
          </w:p>
        </w:tc>
        <w:tc>
          <w:tcPr/>
          <w:p>
            <w:pPr>
              <w:pStyle w:val="Compact"/>
              <w:jc w:val="left"/>
            </w:pPr>
            <w:r>
              <w:t xml:space="preserve">12 months</w:t>
            </w:r>
          </w:p>
        </w:tc>
        <w:tc>
          <w:tcPr/>
          <w:p>
            <w:pPr>
              <w:pStyle w:val="Compact"/>
              <w:jc w:val="left"/>
            </w:pPr>
            <w:r>
              <w:t xml:space="preserve">2,100,000</w:t>
            </w:r>
          </w:p>
        </w:tc>
        <w:tc>
          <w:tcPr/>
          <w:p>
            <w:pPr>
              <w:pStyle w:val="Compact"/>
              <w:jc w:val="left"/>
            </w:pPr>
            <w:r>
              <w:t xml:space="preserve">12</w:t>
            </w:r>
          </w:p>
        </w:tc>
        <w:tc>
          <w:tcPr/>
          <w:p>
            <w:pPr>
              <w:pStyle w:val="Compact"/>
              <w:jc w:val="left"/>
            </w:pPr>
            <w:r>
              <w:t xml:space="preserve">25,200,000</w:t>
            </w:r>
          </w:p>
        </w:tc>
      </w:tr>
      <w:tr>
        <w:tc>
          <w:tcPr/>
          <w:p>
            <w:pPr>
              <w:pStyle w:val="Compact"/>
              <w:jc w:val="left"/>
            </w:pPr>
            <w:r>
              <w:t xml:space="preserve">06</w:t>
            </w:r>
          </w:p>
        </w:tc>
        <w:tc>
          <w:tcPr/>
          <w:p>
            <w:pPr>
              <w:pStyle w:val="Compact"/>
              <w:jc w:val="left"/>
            </w:pPr>
            <w:r>
              <w:t xml:space="preserve">Publication Support &amp; Peer-Review Assistance (per manuscript)</w:t>
            </w:r>
          </w:p>
        </w:tc>
        <w:tc>
          <w:tcPr/>
          <w:p>
            <w:pPr>
              <w:pStyle w:val="Compact"/>
              <w:jc w:val="left"/>
            </w:pPr>
            <w:r>
              <w:t xml:space="preserve">Per deliverable</w:t>
            </w:r>
          </w:p>
        </w:tc>
        <w:tc>
          <w:tcPr/>
          <w:p>
            <w:pPr>
              <w:pStyle w:val="Compact"/>
              <w:jc w:val="left"/>
            </w:pPr>
            <w:r>
              <w:t xml:space="preserve">4,500,000</w:t>
            </w:r>
          </w:p>
        </w:tc>
        <w:tc>
          <w:tcPr/>
          <w:p>
            <w:pPr>
              <w:pStyle w:val="Compact"/>
              <w:jc w:val="left"/>
            </w:pPr>
            <w:r>
              <w:t xml:space="preserve">4</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Administrative &amp; Compliance Oversight (Colombia Medellín local regulations)</w:t>
            </w:r>
          </w:p>
        </w:tc>
        <w:tc>
          <w:tcPr/>
          <w:p>
            <w:pPr>
              <w:pStyle w:val="Compact"/>
              <w:jc w:val="left"/>
            </w:pPr>
            <w:r>
              <w:t xml:space="preserve">12 months</w:t>
            </w:r>
          </w:p>
        </w:tc>
        <w:tc>
          <w:tcPr/>
          <w:p>
            <w:pPr>
              <w:pStyle w:val="Compact"/>
              <w:jc w:val="left"/>
            </w:pPr>
            <w:r>
              <w:t xml:space="preserve">1,600,000</w:t>
            </w:r>
          </w:p>
        </w:tc>
        <w:tc>
          <w:tcPr/>
          <w:p>
            <w:pPr>
              <w:pStyle w:val="Compact"/>
              <w:jc w:val="left"/>
            </w:pPr>
            <w:r>
              <w:t xml:space="preserve">12</w:t>
            </w:r>
          </w:p>
        </w:tc>
        <w:tc>
          <w:tcPr/>
          <w:p>
            <w:pPr>
              <w:pStyle w:val="Compact"/>
              <w:jc w:val="left"/>
            </w:pPr>
            <w:r>
              <w:t xml:space="preserve">19,200,000</w:t>
            </w:r>
          </w:p>
        </w:tc>
      </w:tr>
      <w:tr>
        <w:tc>
          <w:tcPr>
            <w:gridSpan w:val="5"/>
          </w:tcPr>
          <w:p>
            <w:pPr>
              <w:pStyle w:val="Compact"/>
              <w:jc w:val="left"/>
            </w:pPr>
            <w:r>
              <w:rPr>
                <w:bCs/>
                <w:b/>
              </w:rPr>
              <w:t xml:space="preserve">TOTAL ESTIMATED COST (COP)</w:t>
            </w:r>
          </w:p>
        </w:tc>
        <w:tc>
          <w:tcPr/>
          <w:p>
            <w:pPr>
              <w:pStyle w:val="Compact"/>
              <w:jc w:val="left"/>
            </w:pPr>
            <w:r>
              <w:rPr>
                <w:bCs/>
                <w:b/>
              </w:rPr>
              <w:t xml:space="preserve">416,400,000</w:t>
            </w:r>
          </w:p>
        </w:tc>
      </w:tr>
      <w:tr>
        <w:tc>
          <w:tcPr>
            <w:gridSpan w:val="5"/>
          </w:tcPr>
          <w:p>
            <w:pPr>
              <w:pStyle w:val="Compact"/>
              <w:jc w:val="left"/>
            </w:pPr>
            <w:r>
              <w:rPr>
                <w:bCs/>
                <w:b/>
              </w:rPr>
              <w:t xml:space="preserve">TOTAL ESTIMATED COST (USD – approx. at 3,950 COP/USD)</w:t>
            </w:r>
          </w:p>
        </w:tc>
        <w:tc>
          <w:tcPr/>
          <w:p>
            <w:pPr>
              <w:pStyle w:val="Compact"/>
              <w:jc w:val="left"/>
            </w:pPr>
            <w:r>
              <w:rPr>
                <w:bCs/>
                <w:b/>
              </w:rPr>
              <w:t xml:space="preserve">USD 105,417.72</w:t>
            </w:r>
          </w:p>
        </w:tc>
      </w:tr>
    </w:tbl>
    <w:p>
      <w:pPr>
        <w:pStyle w:val="BodyText"/>
      </w:pPr>
      <w:r>
        <w:t xml:space="preserve">All amounts are quoted in Colombian Pesos (COP) and are inclusive of applicable IVA (19% value-added tax) as mandated by Colombian tax law. The USD equivalent is provided for reference only and is not a binding currency.</w:t>
      </w:r>
    </w:p>
    <w:bookmarkEnd w:id="23"/>
    <w:bookmarkStart w:id="24" w:name="payment-terms-schedule"/>
    <w:p>
      <w:pPr>
        <w:pStyle w:val="Heading2"/>
      </w:pPr>
      <w:r>
        <w:t xml:space="preserve">4. Payment Terms &amp; Schedule</w:t>
      </w:r>
    </w:p>
    <w:p>
      <w:pPr>
        <w:pStyle w:val="FirstParagraph"/>
      </w:pPr>
      <w:r>
        <w:t xml:space="preserve">Payment for the services described in this Quotation Estimate shall be made in accordance with the following schedule, subject to the client's written acceptance of this document:</w:t>
      </w:r>
    </w:p>
    <w:p>
      <w:pPr>
        <w:numPr>
          <w:ilvl w:val="0"/>
          <w:numId w:val="1002"/>
        </w:numPr>
        <w:pStyle w:val="Compact"/>
      </w:pPr>
      <w:r>
        <w:rPr>
          <w:bCs/>
          <w:b/>
        </w:rPr>
        <w:t xml:space="preserve">30% advance payment</w:t>
      </w:r>
      <w:r>
        <w:t xml:space="preserve"> </w:t>
      </w:r>
      <w:r>
        <w:t xml:space="preserve">(COP 124,920,000) due within fifteen (15) business days of contract signature, prior to the Medical Researcher's onboarding in Colombia Medellín.</w:t>
      </w:r>
    </w:p>
    <w:p>
      <w:pPr>
        <w:numPr>
          <w:ilvl w:val="0"/>
          <w:numId w:val="1002"/>
        </w:numPr>
        <w:pStyle w:val="Compact"/>
      </w:pPr>
      <w:r>
        <w:rPr>
          <w:bCs/>
          <w:b/>
        </w:rPr>
        <w:t xml:space="preserve">Monthly installments of 6.25%</w:t>
      </w:r>
      <w:r>
        <w:t xml:space="preserve"> </w:t>
      </w:r>
      <w:r>
        <w:t xml:space="preserve">(COP 26,025,000) payable on the 5th business day of each month, contingent upon submission of the monthly progress report by the Medical Researcher.</w:t>
      </w:r>
    </w:p>
    <w:p>
      <w:pPr>
        <w:numPr>
          <w:ilvl w:val="0"/>
          <w:numId w:val="1002"/>
        </w:numPr>
        <w:pStyle w:val="Compact"/>
      </w:pPr>
      <w:r>
        <w:rPr>
          <w:bCs/>
          <w:b/>
        </w:rPr>
        <w:t xml:space="preserve">Final 10% retention</w:t>
      </w:r>
      <w:r>
        <w:t xml:space="preserve"> </w:t>
      </w:r>
      <w:r>
        <w:t xml:space="preserve">(COP 41,640,000) released upon completion of the 12-month engagement and delivery of all final research deliverables.</w:t>
      </w:r>
    </w:p>
    <w:p>
      <w:pPr>
        <w:pStyle w:val="FirstParagraph"/>
      </w:pPr>
      <w:r>
        <w:t xml:space="preserve">Payments shall be made via bank transfer to the provider's account at Banco de Bogotá, Medellín branch. Late payments shall accrue interest at the rate established by the Colombian Superintendencia Financiera.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all prices are subject to revision due to potential fluctuations in the Colombian peso exchange rate and local cost-of-living adjustments in Medellín.</w:t>
      </w:r>
    </w:p>
    <w:p>
      <w:pPr>
        <w:numPr>
          <w:ilvl w:val="0"/>
          <w:numId w:val="1003"/>
        </w:numPr>
        <w:pStyle w:val="Compact"/>
      </w:pPr>
      <w:r>
        <w:t xml:space="preserve">The Medical Researcher named under this engagement shall be subject to a background check, professional license verification with the Colombian Medical Council (Consejo de Medicina), and a conflict-of-interest declaration prior to commencing work in Colombia Medellín.</w:t>
      </w:r>
    </w:p>
    <w:p>
      <w:pPr>
        <w:numPr>
          <w:ilvl w:val="0"/>
          <w:numId w:val="1003"/>
        </w:numPr>
        <w:pStyle w:val="Compact"/>
      </w:pPr>
      <w:r>
        <w:t xml:space="preserve">All intellectual property generated by the Medical Researcher during the term of this engagement shall be jointly owned by the client and the provider, as stipulated in the separate Intellectual Property Agreement to be executed concurrently with the main contract.</w:t>
      </w:r>
    </w:p>
    <w:p>
      <w:pPr>
        <w:numPr>
          <w:ilvl w:val="0"/>
          <w:numId w:val="1003"/>
        </w:numPr>
        <w:pStyle w:val="Compact"/>
      </w:pPr>
      <w:r>
        <w:t xml:space="preserve">The provider reserves the right to substitute the Medical Researcher with a qualified equivalent (MD, PhD, minimum 8 years of clinical research experience) with the client's prior written consent, should unforeseen circumstances arise.</w:t>
      </w:r>
    </w:p>
    <w:p>
      <w:pPr>
        <w:numPr>
          <w:ilvl w:val="0"/>
          <w:numId w:val="1003"/>
        </w:numPr>
        <w:pStyle w:val="Compact"/>
      </w:pPr>
      <w:r>
        <w:t xml:space="preserve">This Quotation Estimate does not constitute a contract until countersigned by both parties. The definitive contract shall be governed by the civil and commercial laws of the Republic of Colombia, with jurisdiction vested in the courts of Medellín, Antioquia.</w:t>
      </w:r>
    </w:p>
    <w:p>
      <w:pPr>
        <w:numPr>
          <w:ilvl w:val="0"/>
          <w:numId w:val="1003"/>
        </w:numPr>
        <w:pStyle w:val="Compact"/>
      </w:pPr>
      <w:r>
        <w:t xml:space="preserve">Confidentiality obligations shall survive the termination of this engagement for a period of five (5) years, in accordance with Colombia's Data Protection Law (Ley 1581 de 2012).</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Medical Researcher services in Colombia Medellín and agrees to the terms, conditions, and pricing outlined herein. This acceptance authorizes the provider to proceed with the recruitment, onboarding, and deployment of the Medical Researcher as described.</w:t>
      </w:r>
    </w:p>
    <w:p>
      <w:pPr>
        <w:pStyle w:val="BodyText"/>
      </w:pPr>
      <w:r>
        <w:rPr>
          <w:bCs/>
          <w:b/>
        </w:rPr>
        <w:t xml:space="preserve">For the Provider:</w:t>
      </w:r>
    </w:p>
    <w:p>
      <w:pPr>
        <w:pStyle w:val="BodyText"/>
      </w:pPr>
      <w:r>
        <w:t xml:space="preserve">Andes Biomedical Research Solutions S.A.S.</w:t>
      </w:r>
    </w:p>
    <w:p>
      <w:pPr>
        <w:pStyle w:val="BodyText"/>
      </w:pPr>
      <w:r>
        <w:t xml:space="preserve">Dr. Alejandro Vargas</w:t>
      </w:r>
      <w:r>
        <w:br/>
      </w:r>
      <w:r>
        <w:t xml:space="preserve">Senior Project Manager</w:t>
      </w:r>
      <w:r>
        <w:br/>
      </w:r>
      <w:r>
        <w:t xml:space="preserve">Date: _______________</w:t>
      </w:r>
    </w:p>
    <w:p>
      <w:pPr>
        <w:pStyle w:val="BodyText"/>
      </w:pPr>
      <w:r>
        <w:rPr>
          <w:bCs/>
          <w:b/>
        </w:rPr>
        <w:t xml:space="preserve">For the Client:</w:t>
      </w:r>
    </w:p>
    <w:p>
      <w:pPr>
        <w:pStyle w:val="BodyText"/>
      </w:pPr>
      <w:r>
        <w:t xml:space="preserve">Instituto Nacional de Salud – Regional Office, Medellín</w:t>
      </w:r>
    </w:p>
    <w:p>
      <w:pPr>
        <w:pStyle w:val="BodyText"/>
      </w:pPr>
      <w:r>
        <w:t xml:space="preserve">Dr. Carolina Restrepo</w:t>
      </w:r>
      <w:r>
        <w:br/>
      </w:r>
      <w:r>
        <w:t xml:space="preserve">Director of Clinical Research</w:t>
      </w:r>
      <w:r>
        <w:br/>
      </w:r>
      <w:r>
        <w:t xml:space="preserve">Date: _______________</w:t>
      </w:r>
    </w:p>
    <w:p>
      <w:pPr>
        <w:pStyle w:val="BodyText"/>
      </w:pPr>
      <w:r>
        <w:t xml:space="preserve">This Quotation Estimate was prepared exclusively for the client named above and may not be reproduced or distributed without the prior written consent of Andes Biomedical Research Solutions S.A.S. Document reference: QME-2025-00487 | Medical Researcher Services | Colombia Medellín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Colombia Medellín</dc:title>
  <dc:creator/>
  <dc:language>en</dc:language>
  <cp:keywords/>
  <dcterms:created xsi:type="dcterms:W3CDTF">2026-10-10T04:35:09Z</dcterms:created>
  <dcterms:modified xsi:type="dcterms:W3CDTF">2026-10-10T04:35:09Z</dcterms:modified>
</cp:coreProperties>
</file>

<file path=docProps/custom.xml><?xml version="1.0" encoding="utf-8"?>
<Properties xmlns="http://schemas.openxmlformats.org/officeDocument/2006/custom-properties" xmlns:vt="http://schemas.openxmlformats.org/officeDocument/2006/docPropsVTypes"/>
</file>