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quotation-estimate"/>
    <w:p>
      <w:pPr>
        <w:pStyle w:val="Heading1"/>
      </w:pPr>
      <w:r>
        <w:t xml:space="preserve">Quotation Estimate</w:t>
      </w:r>
    </w:p>
    <w:p>
      <w:pPr>
        <w:pStyle w:val="FirstParagraph"/>
      </w:pPr>
      <w:r>
        <w:t xml:space="preserve">Professional Medical Researcher Services — Egypt Alexandria</w:t>
      </w:r>
    </w:p>
    <w:p>
      <w:pPr>
        <w:pStyle w:val="BodyText"/>
      </w:pPr>
      <w:r>
        <w:t xml:space="preserve">Alexandria Medical Research &amp; Consultancy Group (AMRCG)</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AMRCG-2025-0472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days from date of issue (expires 14 July 2025)</w:t>
            </w:r>
          </w:p>
        </w:tc>
      </w:tr>
      <w:tr>
        <w:tc>
          <w:tcPr/>
          <w:p>
            <w:pPr>
              <w:pStyle w:val="Compact"/>
              <w:jc w:val="left"/>
            </w:pPr>
            <w:r>
              <w:t xml:space="preserve">Prepared For</w:t>
            </w:r>
          </w:p>
        </w:tc>
        <w:tc>
          <w:tcPr/>
          <w:p>
            <w:pPr>
              <w:pStyle w:val="Compact"/>
              <w:jc w:val="left"/>
            </w:pPr>
            <w:r>
              <w:t xml:space="preserve">Alexandria University Faculty of Medicine — Department of Clinical Research, 21 El-Moharrem Street, Alexandria, Egypt</w:t>
            </w:r>
          </w:p>
        </w:tc>
      </w:tr>
      <w:tr>
        <w:tc>
          <w:tcPr/>
          <w:p>
            <w:pPr>
              <w:pStyle w:val="Compact"/>
              <w:jc w:val="left"/>
            </w:pPr>
            <w:r>
              <w:t xml:space="preserve">Prepared By</w:t>
            </w:r>
          </w:p>
        </w:tc>
        <w:tc>
          <w:tcPr/>
          <w:p>
            <w:pPr>
              <w:pStyle w:val="Compact"/>
              <w:jc w:val="left"/>
            </w:pPr>
            <w:r>
              <w:t xml:space="preserve">Dr. Hana El-Sayed, Lead Medical Researcher &amp; Principal Investigator, AMRCG, 45 Corniche El-Nil, Smouha District, Alexandria, Egypt</w:t>
            </w:r>
          </w:p>
        </w:tc>
      </w:tr>
      <w:tr>
        <w:tc>
          <w:tcPr/>
          <w:p>
            <w:pPr>
              <w:pStyle w:val="Compact"/>
              <w:jc w:val="left"/>
            </w:pPr>
            <w:r>
              <w:t xml:space="preserve">Contact</w:t>
            </w:r>
          </w:p>
        </w:tc>
        <w:tc>
          <w:tcPr/>
          <w:p>
            <w:pPr>
              <w:pStyle w:val="Compact"/>
              <w:jc w:val="left"/>
            </w:pPr>
            <w:r>
              <w:t xml:space="preserve">Phone: +20 3 555 0142  |  Email: research@amrcg-alexandria.eg</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Alexandria Medical Research &amp; Consultancy Group (AMRCG) to formally outline the scope, deliverables, and associated costs for the engagement of a qualified</w:t>
      </w:r>
      <w:r>
        <w:t xml:space="preserve"> </w:t>
      </w:r>
      <w:r>
        <w:t xml:space="preserve">Medical Researcher</w:t>
      </w:r>
      <w:r>
        <w:t xml:space="preserve"> </w:t>
      </w:r>
      <w:r>
        <w:t xml:space="preserve">to conduct a comprehensive clinical and epidemiological study within the</w:t>
      </w:r>
      <w:r>
        <w:t xml:space="preserve"> </w:t>
      </w:r>
      <w:r>
        <w:t xml:space="preserve">Egypt Alexandria</w:t>
      </w:r>
      <w:r>
        <w:t xml:space="preserve"> </w:t>
      </w:r>
      <w:r>
        <w:t xml:space="preserve">metropolitan region. This document serves as a binding financial proposal and shall remain valid for the period stated above. All pricing is denominated in Egyptian Pounds (EGP) unless otherwise specified.</w:t>
      </w:r>
    </w:p>
    <w:bookmarkEnd w:id="21"/>
    <w:bookmarkStart w:id="22" w:name="Xb1e69cda2657fb3522d5f06f68500be55311324"/>
    <w:p>
      <w:pPr>
        <w:pStyle w:val="Heading2"/>
      </w:pPr>
      <w:r>
        <w:t xml:space="preserve">2. Scope of Services — Medical Researcher Engagement</w:t>
      </w:r>
    </w:p>
    <w:p>
      <w:pPr>
        <w:pStyle w:val="FirstParagraph"/>
      </w:pPr>
      <w:r>
        <w:t xml:space="preserve">The</w:t>
      </w:r>
      <w:r>
        <w:t xml:space="preserve"> </w:t>
      </w:r>
      <w:r>
        <w:t xml:space="preserve">Medical Researcher</w:t>
      </w:r>
      <w:r>
        <w:t xml:space="preserve"> </w:t>
      </w:r>
      <w:r>
        <w:t xml:space="preserve">engaged under this</w:t>
      </w:r>
      <w:r>
        <w:t xml:space="preserve"> </w:t>
      </w:r>
      <w:r>
        <w:t xml:space="preserve">Quotation Estimate</w:t>
      </w:r>
      <w:r>
        <w:t xml:space="preserve"> </w:t>
      </w:r>
      <w:r>
        <w:t xml:space="preserve">shall perform the following duties and deliverables in and around</w:t>
      </w:r>
      <w:r>
        <w:t xml:space="preserve"> </w:t>
      </w:r>
      <w:r>
        <w:t xml:space="preserve">Egypt Alexandria</w:t>
      </w:r>
      <w:r>
        <w:t xml:space="preserve">, including but not limited to the coastal districts of Smouha, Montazah, Rashid, and the central urban areas: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Cost (EGP)</w:t>
            </w:r>
          </w:p>
        </w:tc>
      </w:tr>
      <w:tr>
        <w:tc>
          <w:tcPr/>
          <w:p>
            <w:pPr>
              <w:pStyle w:val="Compact"/>
              <w:jc w:val="left"/>
            </w:pPr>
            <w:r>
              <w:t xml:space="preserve">1</w:t>
            </w:r>
          </w:p>
        </w:tc>
        <w:tc>
          <w:tcPr/>
          <w:p>
            <w:pPr>
              <w:pStyle w:val="Compact"/>
              <w:jc w:val="left"/>
            </w:pPr>
            <w:r>
              <w:t xml:space="preserve">Initial literature review and protocol design for a multi-site epidemiological study on cardiovascular risk factors among residents of Egypt Alexandria</w:t>
            </w:r>
          </w:p>
        </w:tc>
        <w:tc>
          <w:tcPr/>
          <w:p>
            <w:pPr>
              <w:pStyle w:val="Compact"/>
              <w:jc w:val="left"/>
            </w:pPr>
            <w:r>
              <w:t xml:space="preserve">3 weeks</w:t>
            </w:r>
          </w:p>
        </w:tc>
        <w:tc>
          <w:tcPr/>
          <w:p>
            <w:pPr>
              <w:pStyle w:val="Compact"/>
              <w:jc w:val="left"/>
            </w:pPr>
            <w:r>
              <w:t xml:space="preserve">Lump sum</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Field data collection and patient recruitment across four (4) public hospitals in Alexandria (Alexandria Main Hospital, El-Shatby University Hospital, El-Montaza General Hospital, and Rashid District Hospital)</w:t>
            </w:r>
          </w:p>
        </w:tc>
        <w:tc>
          <w:tcPr/>
          <w:p>
            <w:pPr>
              <w:pStyle w:val="Compact"/>
              <w:jc w:val="left"/>
            </w:pPr>
            <w:r>
              <w:t xml:space="preserve">12 weeks</w:t>
            </w:r>
          </w:p>
        </w:tc>
        <w:tc>
          <w:tcPr/>
          <w:p>
            <w:pPr>
              <w:pStyle w:val="Compact"/>
              <w:jc w:val="left"/>
            </w:pPr>
            <w:r>
              <w:t xml:space="preserve">Per month</w:t>
            </w:r>
          </w:p>
        </w:tc>
        <w:tc>
          <w:tcPr/>
          <w:p>
            <w:pPr>
              <w:pStyle w:val="Compact"/>
              <w:jc w:val="left"/>
            </w:pPr>
            <w:r>
              <w:t xml:space="preserve">120,000</w:t>
            </w:r>
          </w:p>
        </w:tc>
      </w:tr>
      <w:tr>
        <w:tc>
          <w:tcPr/>
          <w:p>
            <w:pPr>
              <w:pStyle w:val="Compact"/>
              <w:jc w:val="left"/>
            </w:pPr>
            <w:r>
              <w:t xml:space="preserve">3</w:t>
            </w:r>
          </w:p>
        </w:tc>
        <w:tc>
          <w:tcPr/>
          <w:p>
            <w:pPr>
              <w:pStyle w:val="Compact"/>
              <w:jc w:val="left"/>
            </w:pPr>
            <w:r>
              <w:t xml:space="preserve">Statistical analysis, data interpretation, and peer-reviewed manuscript preparation for submission to an indexed journal</w:t>
            </w:r>
          </w:p>
        </w:tc>
        <w:tc>
          <w:tcPr/>
          <w:p>
            <w:pPr>
              <w:pStyle w:val="Compact"/>
              <w:jc w:val="left"/>
            </w:pPr>
            <w:r>
              <w:t xml:space="preserve">6 weeks</w:t>
            </w:r>
          </w:p>
        </w:tc>
        <w:tc>
          <w:tcPr/>
          <w:p>
            <w:pPr>
              <w:pStyle w:val="Compact"/>
              <w:jc w:val="left"/>
            </w:pPr>
            <w:r>
              <w:t xml:space="preserve">Lump sum</w:t>
            </w:r>
          </w:p>
        </w:tc>
        <w:tc>
          <w:tcPr/>
          <w:p>
            <w:pPr>
              <w:pStyle w:val="Compact"/>
              <w:jc w:val="left"/>
            </w:pPr>
            <w:r>
              <w:t xml:space="preserve">65,000</w:t>
            </w:r>
          </w:p>
        </w:tc>
      </w:tr>
      <w:tr>
        <w:tc>
          <w:tcPr/>
          <w:p>
            <w:pPr>
              <w:pStyle w:val="Compact"/>
              <w:jc w:val="left"/>
            </w:pPr>
            <w:r>
              <w:t xml:space="preserve">4</w:t>
            </w:r>
          </w:p>
        </w:tc>
        <w:tc>
          <w:tcPr/>
          <w:p>
            <w:pPr>
              <w:pStyle w:val="Compact"/>
              <w:jc w:val="left"/>
            </w:pPr>
            <w:r>
              <w:t xml:space="preserve">Ethical committee liaison, informed-consent documentation, and regulatory compliance with the Egyptian Ministry of Health and Population guidelines specific to Alexandria Governorate</w:t>
            </w:r>
          </w:p>
        </w:tc>
        <w:tc>
          <w:tcPr/>
          <w:p>
            <w:pPr>
              <w:pStyle w:val="Compact"/>
              <w:jc w:val="left"/>
            </w:pPr>
            <w:r>
              <w:t xml:space="preserve">Ongoing</w:t>
            </w:r>
          </w:p>
        </w:tc>
        <w:tc>
          <w:tcPr/>
          <w:p>
            <w:pPr>
              <w:pStyle w:val="Compact"/>
              <w:jc w:val="left"/>
            </w:pPr>
            <w:r>
              <w:t xml:space="preserve">Per month</w:t>
            </w:r>
          </w:p>
        </w:tc>
        <w:tc>
          <w:tcPr/>
          <w:p>
            <w:pPr>
              <w:pStyle w:val="Compact"/>
              <w:jc w:val="left"/>
            </w:pPr>
            <w:r>
              <w:t xml:space="preserve">18,000</w:t>
            </w:r>
          </w:p>
        </w:tc>
      </w:tr>
      <w:tr>
        <w:tc>
          <w:tcPr/>
          <w:p>
            <w:pPr>
              <w:pStyle w:val="Compact"/>
              <w:jc w:val="left"/>
            </w:pPr>
            <w:r>
              <w:t xml:space="preserve">5</w:t>
            </w:r>
          </w:p>
        </w:tc>
        <w:tc>
          <w:tcPr/>
          <w:p>
            <w:pPr>
              <w:pStyle w:val="Compact"/>
              <w:jc w:val="left"/>
            </w:pPr>
            <w:r>
              <w:t xml:space="preserve">Travel, transportation, and on-site supervision within Egypt Alexandria (including inter-district travel and laboratory access fees)</w:t>
            </w:r>
          </w:p>
        </w:tc>
        <w:tc>
          <w:tcPr/>
          <w:p>
            <w:pPr>
              <w:pStyle w:val="Compact"/>
              <w:jc w:val="left"/>
            </w:pPr>
            <w:r>
              <w:t xml:space="preserve">21 weeks</w:t>
            </w:r>
          </w:p>
        </w:tc>
        <w:tc>
          <w:tcPr/>
          <w:p>
            <w:pPr>
              <w:pStyle w:val="Compact"/>
              <w:jc w:val="left"/>
            </w:pPr>
            <w:r>
              <w:t xml:space="preserve">Per month</w:t>
            </w:r>
          </w:p>
        </w:tc>
        <w:tc>
          <w:tcPr/>
          <w:p>
            <w:pPr>
              <w:pStyle w:val="Compact"/>
              <w:jc w:val="left"/>
            </w:pPr>
            <w:r>
              <w:t xml:space="preserve">12,000</w:t>
            </w:r>
          </w:p>
        </w:tc>
      </w:tr>
      <w:tr>
        <w:tc>
          <w:tcPr/>
          <w:p>
            <w:pPr>
              <w:pStyle w:val="Compact"/>
              <w:jc w:val="left"/>
            </w:pPr>
            <w:r>
              <w:t xml:space="preserve">6</w:t>
            </w:r>
          </w:p>
        </w:tc>
        <w:tc>
          <w:tcPr/>
          <w:p>
            <w:pPr>
              <w:pStyle w:val="Compact"/>
              <w:jc w:val="left"/>
            </w:pPr>
            <w:r>
              <w:t xml:space="preserve">Final research report, presentation to the Alexandria Faculty of Medicine board, and two (2) follow-up consultation sessions</w:t>
            </w:r>
          </w:p>
        </w:tc>
        <w:tc>
          <w:tcPr/>
          <w:p>
            <w:pPr>
              <w:pStyle w:val="Compact"/>
              <w:jc w:val="left"/>
            </w:pPr>
            <w:r>
              <w:t xml:space="preserve">2 weeks</w:t>
            </w:r>
          </w:p>
        </w:tc>
        <w:tc>
          <w:tcPr/>
          <w:p>
            <w:pPr>
              <w:pStyle w:val="Compact"/>
              <w:jc w:val="left"/>
            </w:pPr>
            <w:r>
              <w:t xml:space="preserve">Lump sum</w:t>
            </w:r>
          </w:p>
        </w:tc>
        <w:tc>
          <w:tcPr/>
          <w:p>
            <w:pPr>
              <w:pStyle w:val="Compact"/>
              <w:jc w:val="left"/>
            </w:pPr>
            <w:r>
              <w:t xml:space="preserve">30,000</w:t>
            </w:r>
          </w:p>
        </w:tc>
      </w:tr>
      <w:tr>
        <w:tc>
          <w:tcPr>
            <w:gridSpan w:val="4"/>
          </w:tcPr>
          <w:p>
            <w:pPr>
              <w:pStyle w:val="Compact"/>
              <w:jc w:val="right"/>
            </w:pPr>
            <w:r>
              <w:t xml:space="preserve">TOTAL ESTIMATED COST (EGP)</w:t>
            </w:r>
          </w:p>
        </w:tc>
        <w:tc>
          <w:tcPr/>
          <w:p>
            <w:pPr>
              <w:pStyle w:val="Compact"/>
              <w:jc w:val="left"/>
            </w:pPr>
            <w:r>
              <w:t xml:space="preserve">390,000</w:t>
            </w:r>
          </w:p>
        </w:tc>
      </w:tr>
      <w:tr>
        <w:tc>
          <w:tcPr>
            <w:gridSpan w:val="4"/>
          </w:tcPr>
          <w:p>
            <w:pPr>
              <w:pStyle w:val="Compact"/>
              <w:jc w:val="right"/>
            </w:pPr>
            <w:r>
              <w:t xml:space="preserve">VAT (14% as per Egyptian Tax Authority regulations)</w:t>
            </w:r>
          </w:p>
        </w:tc>
        <w:tc>
          <w:tcPr/>
          <w:p>
            <w:pPr>
              <w:pStyle w:val="Compact"/>
              <w:jc w:val="left"/>
            </w:pPr>
            <w:r>
              <w:t xml:space="preserve">54,600</w:t>
            </w:r>
          </w:p>
        </w:tc>
      </w:tr>
      <w:tr>
        <w:tc>
          <w:tcPr>
            <w:gridSpan w:val="4"/>
          </w:tcPr>
          <w:p>
            <w:pPr>
              <w:pStyle w:val="Compact"/>
              <w:jc w:val="right"/>
            </w:pPr>
            <w:r>
              <w:t xml:space="preserve">GRAND TOTAL (EGP)</w:t>
            </w:r>
          </w:p>
        </w:tc>
        <w:tc>
          <w:tcPr/>
          <w:p>
            <w:pPr>
              <w:pStyle w:val="Compact"/>
              <w:jc w:val="left"/>
            </w:pPr>
            <w:r>
              <w:t xml:space="preserve">444,600</w:t>
            </w:r>
          </w:p>
        </w:tc>
      </w:tr>
    </w:tbl>
    <w:bookmarkEnd w:id="22"/>
    <w:bookmarkStart w:id="23" w:name="qualifications-of-the-medical-researcher"/>
    <w:p>
      <w:pPr>
        <w:pStyle w:val="Heading2"/>
      </w:pPr>
      <w:r>
        <w:t xml:space="preserve">3. Qualifications of the Medical Researcher</w:t>
      </w:r>
    </w:p>
    <w:p>
      <w:pPr>
        <w:pStyle w:val="FirstParagraph"/>
      </w:pPr>
      <w:r>
        <w:t xml:space="preserve">The</w:t>
      </w:r>
      <w:r>
        <w:t xml:space="preserve"> </w:t>
      </w:r>
      <w:r>
        <w:t xml:space="preserve">Medical Researcher</w:t>
      </w:r>
      <w:r>
        <w:t xml:space="preserve"> </w:t>
      </w:r>
      <w:r>
        <w:t xml:space="preserve">assigned to this project holds a Doctor of Medicine (MD) degree from Alexandria University, a Master's in Clinical Epidemiology from the American University in Cairo, and a PhD in Biomedical Sciences. The researcher has over twelve (12) years of experience conducting field-based medical research in the</w:t>
      </w:r>
      <w:r>
        <w:t xml:space="preserve"> </w:t>
      </w:r>
      <w:r>
        <w:t xml:space="preserve">Egypt Alexandria</w:t>
      </w:r>
      <w:r>
        <w:t xml:space="preserve"> </w:t>
      </w:r>
      <w:r>
        <w:t xml:space="preserve">region and has published more than thirty (30) peer-reviewed articles in international journals. The researcher is registered with the Egyptian Medical Syndicate (Branch: Alexandria) and holds a valid research license issued by the National Research Centre, Cairo.</w:t>
      </w:r>
    </w:p>
    <w:bookmarkEnd w:id="23"/>
    <w:bookmarkStart w:id="24" w:name="terms-and-conditions"/>
    <w:p>
      <w:pPr>
        <w:pStyle w:val="Heading2"/>
      </w:pPr>
      <w:r>
        <w:t xml:space="preserve">4. Terms and Conditions</w:t>
      </w:r>
    </w:p>
    <w:p>
      <w:pPr>
        <w:pStyle w:val="FirstParagraph"/>
      </w:pPr>
      <w:r>
        <w:rPr>
          <w:bCs/>
          <w:b/>
        </w:rPr>
        <w:t xml:space="preserve">4.1 Payment Schedule:</w:t>
      </w:r>
      <w:r>
        <w:t xml:space="preserve"> </w:t>
      </w:r>
      <w:r>
        <w:t xml:space="preserve">A 30% advance payment (EGP 133,380) is due upon acceptance of this</w:t>
      </w:r>
      <w:r>
        <w:t xml:space="preserve"> </w:t>
      </w:r>
      <w:r>
        <w:t xml:space="preserve">Quotation Estimate</w:t>
      </w:r>
      <w:r>
        <w:t xml:space="preserve">. The remaining 70% shall be paid in three equal monthly installments aligned with the project milestones outlined in Section 2.</w:t>
      </w:r>
    </w:p>
    <w:p>
      <w:pPr>
        <w:pStyle w:val="BodyText"/>
      </w:pPr>
      <w:r>
        <w:rPr>
          <w:bCs/>
          <w:b/>
        </w:rPr>
        <w:t xml:space="preserve">4.2 Cancellation Policy:</w:t>
      </w:r>
      <w:r>
        <w:t xml:space="preserve"> </w:t>
      </w:r>
      <w:r>
        <w:t xml:space="preserve">Should the client cancel the engagement after the advance payment has been received, the advance shall be non-refundable. Cancellation after the second milestone requires a 50% penalty on the remaining balance.</w:t>
      </w:r>
    </w:p>
    <w:p>
      <w:pPr>
        <w:pStyle w:val="BodyText"/>
      </w:pPr>
      <w:r>
        <w:rPr>
          <w:bCs/>
          <w:b/>
        </w:rPr>
        <w:t xml:space="preserve">4.3 Intellectual Property:</w:t>
      </w:r>
      <w:r>
        <w:t xml:space="preserve"> </w:t>
      </w:r>
      <w:r>
        <w:t xml:space="preserve">All raw data, interim reports, and the final manuscript produced by the</w:t>
      </w:r>
      <w:r>
        <w:t xml:space="preserve"> </w:t>
      </w:r>
      <w:r>
        <w:t xml:space="preserve">Medical Researcher</w:t>
      </w:r>
      <w:r>
        <w:t xml:space="preserve"> </w:t>
      </w:r>
      <w:r>
        <w:t xml:space="preserve">under this contract shall be jointly owned by AMRCG and the client institution, with publication rights shared equally.</w:t>
      </w:r>
    </w:p>
    <w:p>
      <w:pPr>
        <w:pStyle w:val="BodyText"/>
      </w:pPr>
      <w:r>
        <w:rPr>
          <w:bCs/>
          <w:b/>
        </w:rPr>
        <w:t xml:space="preserve">4.4 Force Majeure:</w:t>
      </w:r>
      <w:r>
        <w:t xml:space="preserve"> </w:t>
      </w:r>
      <w:r>
        <w:t xml:space="preserve">Neither party shall be liable for delays caused by events beyond reasonable control, including but not limited to public health emergencies, government-mandated closures of hospitals in</w:t>
      </w:r>
      <w:r>
        <w:t xml:space="preserve"> </w:t>
      </w:r>
      <w:r>
        <w:t xml:space="preserve">Egypt Alexandria</w:t>
      </w:r>
      <w:r>
        <w:t xml:space="preserve">, or natural disasters.</w:t>
      </w:r>
    </w:p>
    <w:p>
      <w:pPr>
        <w:pStyle w:val="BodyText"/>
      </w:pPr>
      <w:r>
        <w:rPr>
          <w:bCs/>
          <w:b/>
        </w:rPr>
        <w:t xml:space="preserve">4.5 Governing Law:</w:t>
      </w:r>
      <w:r>
        <w:t xml:space="preserve"> </w:t>
      </w:r>
      <w:r>
        <w:t xml:space="preserve">This</w:t>
      </w:r>
      <w:r>
        <w:t xml:space="preserve"> </w:t>
      </w:r>
      <w:r>
        <w:t xml:space="preserve">Quotation Estimate</w:t>
      </w:r>
      <w:r>
        <w:t xml:space="preserve"> </w:t>
      </w:r>
      <w:r>
        <w:t xml:space="preserve">and any resulting contract shall be governed by the laws of the Arab Republic of Egypt. Disputes shall be resolved through the Alexandria Commercial Court.</w:t>
      </w:r>
    </w:p>
    <w:p>
      <w:pPr>
        <w:pStyle w:val="BodyText"/>
      </w:pPr>
      <w:r>
        <w:rPr>
          <w:bCs/>
          <w:b/>
        </w:rPr>
        <w:t xml:space="preserve">4.6 Confidentiality:</w:t>
      </w:r>
      <w:r>
        <w:t xml:space="preserve"> </w:t>
      </w:r>
      <w:r>
        <w:t xml:space="preserve">The</w:t>
      </w:r>
      <w:r>
        <w:t xml:space="preserve"> </w:t>
      </w:r>
      <w:r>
        <w:t xml:space="preserve">Medical Researcher</w:t>
      </w:r>
      <w:r>
        <w:t xml:space="preserve"> </w:t>
      </w:r>
      <w:r>
        <w:t xml:space="preserve">shall maintain strict confidentiality of all patient data in accordance with Egyptian Law No. 176 of 2018 on the Protection of Personal Data and the ethical standards of the Alexandria University Research Ethics Committee.</w:t>
      </w:r>
    </w:p>
    <w:p>
      <w:pPr>
        <w:pStyle w:val="BodyText"/>
      </w:pPr>
      <w:r>
        <w:rPr>
          <w:bCs/>
          <w:b/>
        </w:rPr>
        <w:t xml:space="preserve">Note:</w:t>
      </w:r>
      <w:r>
        <w:t xml:space="preserve"> </w:t>
      </w:r>
      <w:r>
        <w:t xml:space="preserve">This</w:t>
      </w:r>
      <w:r>
        <w:t xml:space="preserve"> </w:t>
      </w:r>
      <w:r>
        <w:t xml:space="preserve">Quotation Estimate</w:t>
      </w:r>
      <w:r>
        <w:t xml:space="preserve"> </w:t>
      </w:r>
      <w:r>
        <w:t xml:space="preserve">is a non-binding proposal until formally accepted in writing by both parties. All costs are exclusive of any additional laboratory consumables, imaging fees, or third-party testing services that may be required during the course of the</w:t>
      </w:r>
      <w:r>
        <w:t xml:space="preserve"> </w:t>
      </w:r>
      <w:r>
        <w:t xml:space="preserve">Medical Researcher</w:t>
      </w:r>
      <w:r>
        <w:t xml:space="preserve">'s fieldwork in</w:t>
      </w:r>
      <w:r>
        <w:t xml:space="preserve"> </w:t>
      </w:r>
      <w:r>
        <w:t xml:space="preserve">Egypt Alexandria</w:t>
      </w:r>
      <w:r>
        <w:t xml:space="preserve">. Such additional costs, if incurred, will be itemized in a supplementary amendment to this document.</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that they have read, understood, and agree to the terms set forth in this</w:t>
      </w:r>
      <w:r>
        <w:t xml:space="preserve"> </w:t>
      </w:r>
      <w:r>
        <w:t xml:space="preserve">Quotation Estimate</w:t>
      </w:r>
      <w:r>
        <w:t xml:space="preserve"> </w:t>
      </w:r>
      <w:r>
        <w:t xml:space="preserve">for the engagement of a</w:t>
      </w:r>
      <w:r>
        <w:t xml:space="preserve"> </w:t>
      </w:r>
      <w:r>
        <w:t xml:space="preserve">Medical Researcher</w:t>
      </w:r>
      <w:r>
        <w:t xml:space="preserve"> </w:t>
      </w:r>
      <w:r>
        <w:t xml:space="preserve">in</w:t>
      </w:r>
      <w:r>
        <w:t xml:space="preserve"> </w:t>
      </w:r>
      <w:r>
        <w:t xml:space="preserve">Egypt Alexandria</w:t>
      </w:r>
      <w:r>
        <w:t xml:space="preserve">.</w:t>
      </w:r>
    </w:p>
    <w:p>
      <w:pPr>
        <w:pStyle w:val="BodyText"/>
      </w:pPr>
      <w:r>
        <w:rPr>
          <w:bCs/>
          <w:b/>
        </w:rPr>
        <w:t xml:space="preserve">For AMRCG (Provider)</w:t>
      </w:r>
    </w:p>
    <w:p>
      <w:pPr>
        <w:pStyle w:val="BodyText"/>
      </w:pPr>
      <w:r>
        <w:t xml:space="preserve">Dr. Hana El-Sayed</w:t>
      </w:r>
      <w:r>
        <w:br/>
      </w:r>
      <w:r>
        <w:t xml:space="preserve">Lead Medical Researcher &amp; Principal Investigator</w:t>
      </w:r>
      <w:r>
        <w:br/>
      </w:r>
      <w:r>
        <w:t xml:space="preserve">Signature &amp; Date: _________________________</w:t>
      </w:r>
    </w:p>
    <w:p>
      <w:pPr>
        <w:pStyle w:val="BodyText"/>
      </w:pPr>
      <w:r>
        <w:rPr>
          <w:bCs/>
          <w:b/>
        </w:rPr>
        <w:t xml:space="preserve">For Alexandria University (Client)</w:t>
      </w:r>
    </w:p>
    <w:p>
      <w:pPr>
        <w:pStyle w:val="BodyText"/>
      </w:pPr>
      <w:r>
        <w:t xml:space="preserve">Prof. Dr. Ahmed Mahmoud</w:t>
      </w:r>
      <w:r>
        <w:br/>
      </w:r>
      <w:r>
        <w:t xml:space="preserve">Head, Department of Clinical Research</w:t>
      </w:r>
      <w:r>
        <w:br/>
      </w:r>
      <w:r>
        <w:t xml:space="preserve">Signature &amp; Date: _________________________</w:t>
      </w:r>
    </w:p>
    <w:p>
      <w:pPr>
        <w:pStyle w:val="BodyText"/>
      </w:pPr>
      <w:r>
        <w:t xml:space="preserve">Alexandria Medical Research &amp; Consultancy Group (AMRCG) — 45 Corniche El-Nil, Smouha, Alexandria, Egypt</w:t>
      </w:r>
      <w:r>
        <w:br/>
      </w:r>
      <w:r>
        <w:t xml:space="preserve">Commercial Registration No. 2019-44782  |  Tax ID: 552-881-334  |  Egyptian Medical Syndicate License: ALEX-2021-0093</w:t>
      </w:r>
      <w:r>
        <w:br/>
      </w:r>
      <w:r>
        <w:t xml:space="preserve">This Quotation Estimate was generated on 14 June 2025 and is valid until 14 July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Medical Researcher Services - Egypt Alexandria</dc:title>
  <dc:creator/>
  <dc:language>en</dc:language>
  <cp:keywords/>
  <dcterms:created xsi:type="dcterms:W3CDTF">2026-10-10T03:18:33Z</dcterms:created>
  <dcterms:modified xsi:type="dcterms:W3CDTF">2026-10-10T03:18:33Z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