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Medical Researcher Services — Egypt Cairo</w:t>
      </w:r>
    </w:p>
    <w:p>
      <w:pPr>
        <w:pStyle w:val="BodyText"/>
      </w:pPr>
      <w:r>
        <w:t xml:space="preserve">Nile Delta Research &amp; Clinical Sciences Institute</w:t>
      </w:r>
    </w:p>
    <w:bookmarkEnd w:id="20"/>
    <w:p>
      <w:pPr>
        <w:pStyle w:val="BodyText"/>
      </w:pPr>
      <w:r>
        <w:rPr>
          <w:bCs/>
          <w:b/>
        </w:rPr>
        <w:t xml:space="preserve">Quotation Estimate No.:</w:t>
      </w:r>
      <w:r>
        <w:t xml:space="preserve"> </w:t>
      </w:r>
      <w:r>
        <w:t xml:space="preserve">QTE-CAI-2025-0487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Dr. Amira Hassan, Director of Research Operations</w:t>
      </w:r>
      <w:r>
        <w:br/>
      </w:r>
      <w:r>
        <w:rPr>
          <w:bCs/>
          <w:b/>
        </w:rPr>
        <w:t xml:space="preserve">Location:</w:t>
      </w:r>
      <w:r>
        <w:t xml:space="preserve"> </w:t>
      </w:r>
      <w:r>
        <w:t xml:space="preserve">42 El Tahrir Square, Downtown, Egypt Cairo</w:t>
      </w:r>
      <w:r>
        <w:br/>
      </w:r>
      <w:r>
        <w:rPr>
          <w:bCs/>
          <w:b/>
        </w:rPr>
        <w:t xml:space="preserve">Contact:</w:t>
      </w:r>
      <w:r>
        <w:t xml:space="preserve"> </w:t>
      </w:r>
      <w:r>
        <w:t xml:space="preserve">research@niledelta-egypt.com | +20 2 2578 4410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Dr. Mahmoud El-Sayed, Head of Oncology Department</w:t>
            </w:r>
          </w:p>
        </w:tc>
      </w:tr>
      <w:tr>
        <w:tc>
          <w:tcPr/>
          <w:p>
            <w:pPr>
              <w:pStyle w:val="Compact"/>
              <w:jc w:val="left"/>
            </w:pPr>
            <w:r>
              <w:rPr>
                <w:bCs/>
                <w:b/>
              </w:rPr>
              <w:t xml:space="preserve">Institution:</w:t>
            </w:r>
          </w:p>
        </w:tc>
        <w:tc>
          <w:tcPr/>
          <w:p>
            <w:pPr>
              <w:pStyle w:val="Compact"/>
              <w:jc w:val="left"/>
            </w:pPr>
            <w:r>
              <w:t xml:space="preserve">Cairo University Hospital — Faculty of Medicine</w:t>
            </w:r>
          </w:p>
        </w:tc>
      </w:tr>
      <w:tr>
        <w:tc>
          <w:tcPr/>
          <w:p>
            <w:pPr>
              <w:pStyle w:val="Compact"/>
              <w:jc w:val="left"/>
            </w:pPr>
            <w:r>
              <w:rPr>
                <w:bCs/>
                <w:b/>
              </w:rPr>
              <w:t xml:space="preserve">Address:</w:t>
            </w:r>
          </w:p>
        </w:tc>
        <w:tc>
          <w:tcPr/>
          <w:p>
            <w:pPr>
              <w:pStyle w:val="Compact"/>
              <w:jc w:val="left"/>
            </w:pPr>
            <w:r>
              <w:t xml:space="preserve">1 Kasr El Aini Street, Dokki, Egypt Cairo, 12611</w:t>
            </w:r>
          </w:p>
        </w:tc>
      </w:tr>
      <w:tr>
        <w:tc>
          <w:tcPr/>
          <w:p>
            <w:pPr>
              <w:pStyle w:val="Compact"/>
              <w:jc w:val="left"/>
            </w:pPr>
            <w:r>
              <w:rPr>
                <w:bCs/>
                <w:b/>
              </w:rPr>
              <w:t xml:space="preserve">Project Reference:</w:t>
            </w:r>
          </w:p>
        </w:tc>
        <w:tc>
          <w:tcPr/>
          <w:p>
            <w:pPr>
              <w:pStyle w:val="Compact"/>
              <w:jc w:val="left"/>
            </w:pPr>
            <w:r>
              <w:t xml:space="preserve">CUH-ONC-2025-Phase III Clinical Trial Support</w:t>
            </w:r>
          </w:p>
        </w:tc>
      </w:tr>
    </w:tbl>
    <w:bookmarkEnd w:id="21"/>
    <w:bookmarkStart w:id="22" w:name="X91c08d9eff047ad022bc5715a6ba928dd75c25d"/>
    <w:p>
      <w:pPr>
        <w:pStyle w:val="Heading2"/>
      </w:pPr>
      <w:r>
        <w:t xml:space="preserve">2. Scope of Work — Medical Researcher Engagement</w:t>
      </w:r>
    </w:p>
    <w:p>
      <w:pPr>
        <w:pStyle w:val="FirstParagraph"/>
      </w:pPr>
      <w:r>
        <w:t xml:space="preserve">This</w:t>
      </w:r>
      <w:r>
        <w:t xml:space="preserve"> </w:t>
      </w:r>
      <w:r>
        <w:t xml:space="preserve">Quotation Estimate</w:t>
      </w:r>
      <w:r>
        <w:t xml:space="preserve"> </w:t>
      </w:r>
      <w:r>
        <w:t xml:space="preserve">is issued by Nile Delta Research &amp; Clinical Sciences Institute to formally outline the professional services to be rendered by a senior</w:t>
      </w:r>
      <w:r>
        <w:t xml:space="preserve"> </w:t>
      </w:r>
      <w:r>
        <w:t xml:space="preserve">Medical Researcher</w:t>
      </w:r>
      <w:r>
        <w:t xml:space="preserve"> </w:t>
      </w:r>
      <w:r>
        <w:t xml:space="preserve">engaged to support the Phase III clinical trial program at Cairo University Hospital. The</w:t>
      </w:r>
      <w:r>
        <w:t xml:space="preserve"> </w:t>
      </w:r>
      <w:r>
        <w:t xml:space="preserve">Medical Researcher</w:t>
      </w:r>
      <w:r>
        <w:t xml:space="preserve"> </w:t>
      </w:r>
      <w:r>
        <w:t xml:space="preserve">will be based in</w:t>
      </w:r>
      <w:r>
        <w:t xml:space="preserve"> </w:t>
      </w:r>
      <w:r>
        <w:t xml:space="preserve">Egypt Cairo</w:t>
      </w:r>
      <w:r>
        <w:t xml:space="preserve"> </w:t>
      </w:r>
      <w:r>
        <w:t xml:space="preserve">and will operate under the direct supervision of the client's principal investigator. All deliverables, data management, and regulatory compliance activities will be conducted in accordance with the Egyptian Supreme Council of Health (SCH) guidelines and the Egyptian Drug Authority (EDA) protocols applicable in</w:t>
      </w:r>
      <w:r>
        <w:t xml:space="preserve"> </w:t>
      </w:r>
      <w:r>
        <w:t xml:space="preserve">Egypt Cairo</w:t>
      </w:r>
      <w:r>
        <w:t xml:space="preserve">.</w:t>
      </w:r>
    </w:p>
    <w:p>
      <w:pPr>
        <w:pStyle w:val="BodyText"/>
      </w:pPr>
      <w:r>
        <w:t xml:space="preserve">The scope encompasses literature review, protocol design assistance, statistical analysis, patient recruitment coordination, adverse event monitoring, and preparation of regulatory submission documents. The</w:t>
      </w:r>
      <w:r>
        <w:t xml:space="preserve"> </w:t>
      </w:r>
      <w:r>
        <w:t xml:space="preserve">Medical Researcher</w:t>
      </w:r>
      <w:r>
        <w:t xml:space="preserve"> </w:t>
      </w:r>
      <w:r>
        <w:t xml:space="preserve">will work a minimum of five (5) days per week at the client's facility in</w:t>
      </w:r>
      <w:r>
        <w:t xml:space="preserve"> </w:t>
      </w:r>
      <w:r>
        <w:t xml:space="preserve">Egypt Cairo</w:t>
      </w:r>
      <w:r>
        <w:t xml:space="preserve">, with remote availability for data entry and report drafting as needed.</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Medical Researcher — Monthly Professional Fee (includes protocol review, data analysis, and weekly progress reporting)</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Regulatory Compliance &amp; EDA Submission Preparation (Egypt Cairo jurisdiction)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38,500</w:t>
            </w:r>
          </w:p>
        </w:tc>
      </w:tr>
      <w:tr>
        <w:tc>
          <w:tcPr/>
          <w:p>
            <w:pPr>
              <w:pStyle w:val="Compact"/>
              <w:jc w:val="left"/>
            </w:pPr>
            <w:r>
              <w:t xml:space="preserve">03</w:t>
            </w:r>
          </w:p>
        </w:tc>
        <w:tc>
          <w:tcPr/>
          <w:p>
            <w:pPr>
              <w:pStyle w:val="Compact"/>
              <w:jc w:val="left"/>
            </w:pPr>
            <w:r>
              <w:t xml:space="preserve">Statistical Analysis &amp; Biostatistical Consulting (SAS/R programming, interim analysis)</w:t>
            </w:r>
          </w:p>
        </w:tc>
        <w:tc>
          <w:tcPr/>
          <w:p>
            <w:pPr>
              <w:pStyle w:val="Compact"/>
              <w:jc w:val="left"/>
            </w:pPr>
            <w:r>
              <w:t xml:space="preserve">6 months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Patient Recruitment Coordination &amp; Informed Consent Management (Egypt Cairo sites)</w:t>
            </w:r>
          </w:p>
        </w:tc>
        <w:tc>
          <w:tcPr/>
          <w:p>
            <w:pPr>
              <w:pStyle w:val="Compact"/>
              <w:jc w:val="left"/>
            </w:pPr>
            <w:r>
              <w:t xml:space="preserve">6 months</w:t>
            </w:r>
          </w:p>
        </w:tc>
        <w:tc>
          <w:tcPr/>
          <w:p>
            <w:pPr>
              <w:pStyle w:val="Compact"/>
              <w:jc w:val="left"/>
            </w:pPr>
            <w:r>
              <w:t xml:space="preserve">8,500</w:t>
            </w:r>
          </w:p>
        </w:tc>
        <w:tc>
          <w:tcPr/>
          <w:p>
            <w:pPr>
              <w:pStyle w:val="Compact"/>
              <w:jc w:val="left"/>
            </w:pPr>
            <w:r>
              <w:t xml:space="preserve">51,000</w:t>
            </w:r>
          </w:p>
        </w:tc>
      </w:tr>
      <w:tr>
        <w:tc>
          <w:tcPr/>
          <w:p>
            <w:pPr>
              <w:pStyle w:val="Compact"/>
              <w:jc w:val="left"/>
            </w:pPr>
            <w:r>
              <w:t xml:space="preserve">05</w:t>
            </w:r>
          </w:p>
        </w:tc>
        <w:tc>
          <w:tcPr/>
          <w:p>
            <w:pPr>
              <w:pStyle w:val="Compact"/>
              <w:jc w:val="left"/>
            </w:pPr>
            <w:r>
              <w:t xml:space="preserve">Adverse Event Monitoring &amp; Pharmacovigilance Reporting</w:t>
            </w:r>
          </w:p>
        </w:tc>
        <w:tc>
          <w:tcPr/>
          <w:p>
            <w:pPr>
              <w:pStyle w:val="Compact"/>
              <w:jc w:val="left"/>
            </w:pPr>
            <w:r>
              <w:t xml:space="preserve">6 months</w:t>
            </w:r>
          </w:p>
        </w:tc>
        <w:tc>
          <w:tcPr/>
          <w:p>
            <w:pPr>
              <w:pStyle w:val="Compact"/>
              <w:jc w:val="left"/>
            </w:pPr>
            <w:r>
              <w:t xml:space="preserve">6,000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Manuscript Preparation &amp; Peer-Review Support (target: 2 indexed publications)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28,000</w:t>
            </w:r>
          </w:p>
        </w:tc>
      </w:tr>
      <w:tr>
        <w:tc>
          <w:tcPr/>
          <w:p>
            <w:pPr>
              <w:pStyle w:val="Compact"/>
              <w:jc w:val="left"/>
            </w:pPr>
            <w:r>
              <w:t xml:space="preserve">07</w:t>
            </w:r>
          </w:p>
        </w:tc>
        <w:tc>
          <w:tcPr/>
          <w:p>
            <w:pPr>
              <w:pStyle w:val="Compact"/>
              <w:jc w:val="left"/>
            </w:pPr>
            <w:r>
              <w:t xml:space="preserve">Travel &amp; Local Transportation within Egypt Cairo (clinic visits, EDA office, SCH meetings)</w:t>
            </w:r>
          </w:p>
        </w:tc>
        <w:tc>
          <w:tcPr/>
          <w:p>
            <w:pPr>
              <w:pStyle w:val="Compact"/>
              <w:jc w:val="left"/>
            </w:pPr>
            <w:r>
              <w:t xml:space="preserve">6 months</w:t>
            </w:r>
          </w:p>
        </w:tc>
        <w:tc>
          <w:tcPr/>
          <w:p>
            <w:pPr>
              <w:pStyle w:val="Compact"/>
              <w:jc w:val="left"/>
            </w:pPr>
            <w:r>
              <w:t xml:space="preserve">3,200</w:t>
            </w:r>
          </w:p>
        </w:tc>
        <w:tc>
          <w:tcPr/>
          <w:p>
            <w:pPr>
              <w:pStyle w:val="Compact"/>
              <w:jc w:val="left"/>
            </w:pPr>
            <w:r>
              <w:t xml:space="preserve">19,200</w:t>
            </w:r>
          </w:p>
        </w:tc>
      </w:tr>
      <w:tr>
        <w:tc>
          <w:tcPr/>
          <w:p>
            <w:pPr>
              <w:pStyle w:val="Compact"/>
              <w:jc w:val="left"/>
            </w:pPr>
            <w:r>
              <w:t xml:space="preserve">08</w:t>
            </w:r>
          </w:p>
        </w:tc>
        <w:tc>
          <w:tcPr/>
          <w:p>
            <w:pPr>
              <w:pStyle w:val="Compact"/>
              <w:jc w:val="left"/>
            </w:pPr>
            <w:r>
              <w:t xml:space="preserve">Software Licenses &amp; Data Storage (REDCap, SAS, encrypted cloud storage)</w:t>
            </w:r>
          </w:p>
        </w:tc>
        <w:tc>
          <w:tcPr/>
          <w:p>
            <w:pPr>
              <w:pStyle w:val="Compact"/>
              <w:jc w:val="left"/>
            </w:pPr>
            <w:r>
              <w:t xml:space="preserve">6 months</w:t>
            </w:r>
          </w:p>
        </w:tc>
        <w:tc>
          <w:tcPr/>
          <w:p>
            <w:pPr>
              <w:pStyle w:val="Compact"/>
              <w:jc w:val="left"/>
            </w:pPr>
            <w:r>
              <w:t xml:space="preserve">4,500</w:t>
            </w:r>
          </w:p>
        </w:tc>
        <w:tc>
          <w:tcPr/>
          <w:p>
            <w:pPr>
              <w:pStyle w:val="Compact"/>
              <w:jc w:val="left"/>
            </w:pPr>
            <w:r>
              <w:t xml:space="preserve">27,000</w:t>
            </w:r>
          </w:p>
        </w:tc>
      </w:tr>
      <w:tr>
        <w:tc>
          <w:tcPr>
            <w:gridSpan w:val="4"/>
          </w:tcPr>
          <w:p>
            <w:pPr>
              <w:pStyle w:val="Compact"/>
              <w:jc w:val="left"/>
            </w:pPr>
            <w:r>
              <w:t xml:space="preserve">Subtotal</w:t>
            </w:r>
          </w:p>
        </w:tc>
        <w:tc>
          <w:tcPr/>
          <w:p>
            <w:pPr>
              <w:pStyle w:val="Compact"/>
              <w:jc w:val="left"/>
            </w:pPr>
            <w:r>
              <w:t xml:space="preserve">541,700</w:t>
            </w:r>
          </w:p>
        </w:tc>
      </w:tr>
      <w:tr>
        <w:tc>
          <w:tcPr>
            <w:gridSpan w:val="4"/>
          </w:tcPr>
          <w:p>
            <w:pPr>
              <w:pStyle w:val="Compact"/>
              <w:jc w:val="left"/>
            </w:pPr>
            <w:r>
              <w:t xml:space="preserve">VAT (14% — Egyptian Tax Authority)</w:t>
            </w:r>
          </w:p>
        </w:tc>
        <w:tc>
          <w:tcPr/>
          <w:p>
            <w:pPr>
              <w:pStyle w:val="Compact"/>
              <w:jc w:val="left"/>
            </w:pPr>
            <w:r>
              <w:t xml:space="preserve">75,838</w:t>
            </w:r>
          </w:p>
        </w:tc>
      </w:tr>
      <w:tr>
        <w:tc>
          <w:tcPr>
            <w:gridSpan w:val="4"/>
          </w:tcPr>
          <w:p>
            <w:pPr>
              <w:pStyle w:val="Compact"/>
              <w:jc w:val="left"/>
            </w:pPr>
            <w:r>
              <w:rPr>
                <w:bCs/>
                <w:b/>
              </w:rPr>
              <w:t xml:space="preserve">TOTAL QUOTATION ESTIMATE (EGP)</w:t>
            </w:r>
          </w:p>
        </w:tc>
        <w:tc>
          <w:tcPr/>
          <w:p>
            <w:pPr>
              <w:pStyle w:val="Compact"/>
              <w:jc w:val="left"/>
            </w:pPr>
            <w:r>
              <w:rPr>
                <w:bCs/>
                <w:b/>
              </w:rPr>
              <w:t xml:space="preserve">617,538</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request for services beyond this period will require a revised</w:t>
      </w:r>
      <w:r>
        <w:t xml:space="preserve"> </w:t>
      </w:r>
      <w:r>
        <w:t xml:space="preserve">Quotation Estimate</w:t>
      </w:r>
      <w:r>
        <w:t xml:space="preserve"> </w:t>
      </w:r>
      <w:r>
        <w:t xml:space="preserve">reflecting current market rates in</w:t>
      </w:r>
      <w:r>
        <w:t xml:space="preserve"> </w:t>
      </w:r>
      <w:r>
        <w:t xml:space="preserve">Egypt Cairo</w:t>
      </w:r>
      <w:r>
        <w:t xml:space="preserve">.</w:t>
      </w:r>
    </w:p>
    <w:p>
      <w:pPr>
        <w:numPr>
          <w:ilvl w:val="0"/>
          <w:numId w:val="1001"/>
        </w:numPr>
        <w:pStyle w:val="Compact"/>
      </w:pPr>
      <w:r>
        <w:t xml:space="preserve">Payment terms: 40% advance upon contract signing, 30% upon completion of the third month, and 30% upon final delivery of all research outputs and regulatory filings.</w:t>
      </w:r>
    </w:p>
    <w:p>
      <w:pPr>
        <w:numPr>
          <w:ilvl w:val="0"/>
          <w:numId w:val="1001"/>
        </w:numPr>
        <w:pStyle w:val="Compact"/>
      </w:pPr>
      <w:r>
        <w:t xml:space="preserve">All payments shall be made in Egyptian Pounds (EGP) via bank transfer to the account of Nile Delta Research &amp; Clinical Sciences Institute, National Bank of Egypt, Cairo Main Branch.</w:t>
      </w:r>
    </w:p>
    <w:p>
      <w:pPr>
        <w:numPr>
          <w:ilvl w:val="0"/>
          <w:numId w:val="1001"/>
        </w:numPr>
        <w:pStyle w:val="Compact"/>
      </w:pPr>
      <w:r>
        <w:t xml:space="preserve">The</w:t>
      </w:r>
      <w:r>
        <w:t xml:space="preserve"> </w:t>
      </w:r>
      <w:r>
        <w:t xml:space="preserve">Medical Researcher</w:t>
      </w:r>
      <w:r>
        <w:t xml:space="preserve"> </w:t>
      </w:r>
      <w:r>
        <w:t xml:space="preserve">shall maintain full confidentiality of all patient data, proprietary trial information, and unpublished findings in strict compliance with Egyptian Law No. 176 of 2018 (Personal Data Protection Law).</w:t>
      </w:r>
    </w:p>
    <w:p>
      <w:pPr>
        <w:numPr>
          <w:ilvl w:val="0"/>
          <w:numId w:val="1001"/>
        </w:numPr>
        <w:pStyle w:val="Compact"/>
      </w:pPr>
      <w:r>
        <w:t xml:space="preserve">Any scope changes or additional deliverables requested by the client will be subject to a supplementary</w:t>
      </w:r>
      <w:r>
        <w:t xml:space="preserve"> </w:t>
      </w:r>
      <w:r>
        <w:t xml:space="preserve">Quotation Estimate</w:t>
      </w:r>
      <w:r>
        <w:t xml:space="preserve"> </w:t>
      </w:r>
      <w:r>
        <w:t xml:space="preserve">issued in writing prior to commencement of the additional work.</w:t>
      </w:r>
    </w:p>
    <w:p>
      <w:pPr>
        <w:numPr>
          <w:ilvl w:val="0"/>
          <w:numId w:val="1001"/>
        </w:numPr>
        <w:pStyle w:val="Compact"/>
      </w:pPr>
      <w:r>
        <w:t xml:space="preserve">The</w:t>
      </w:r>
      <w:r>
        <w:t xml:space="preserve"> </w:t>
      </w:r>
      <w:r>
        <w:t xml:space="preserve">Medical Researcher</w:t>
      </w:r>
      <w:r>
        <w:t xml:space="preserve"> </w:t>
      </w:r>
      <w:r>
        <w:t xml:space="preserve">is engaged as an independent contractor and is not an employee of the client institution. Social insurance and labor law obligations under Egyptian law do not apply to this engagement.</w:t>
      </w:r>
    </w:p>
    <w:p>
      <w:pPr>
        <w:numPr>
          <w:ilvl w:val="0"/>
          <w:numId w:val="1001"/>
        </w:numPr>
        <w:pStyle w:val="Compact"/>
      </w:pPr>
      <w:r>
        <w:t xml:space="preserve">Force majeure events, including but not limited to government-mandated closures in</w:t>
      </w:r>
      <w:r>
        <w:t xml:space="preserve"> </w:t>
      </w:r>
      <w:r>
        <w:t xml:space="preserve">Egypt Cairo</w:t>
      </w:r>
      <w:r>
        <w:t xml:space="preserve">, shall suspend the project timeline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or the resulting contract shall be resolved through arbitration in</w:t>
      </w:r>
      <w:r>
        <w:t xml:space="preserve"> </w:t>
      </w:r>
      <w:r>
        <w:t xml:space="preserve">Egypt Cairo</w:t>
      </w:r>
      <w:r>
        <w:t xml:space="preserve"> </w:t>
      </w:r>
      <w:r>
        <w:t xml:space="preserve">in accordance with the Egyptian Arbitration Law No. 27 of 1994.</w:t>
      </w:r>
    </w:p>
    <w:bookmarkEnd w:id="24"/>
    <w:bookmarkStart w:id="25" w:name="deliverables-timeline"/>
    <w:p>
      <w:pPr>
        <w:pStyle w:val="Heading2"/>
      </w:pPr>
      <w:r>
        <w:t xml:space="preserve">5. Deliverables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Target Date</w:t>
            </w:r>
          </w:p>
        </w:tc>
      </w:tr>
      <w:tr>
        <w:tc>
          <w:tcPr/>
          <w:p>
            <w:pPr>
              <w:pStyle w:val="Compact"/>
              <w:jc w:val="left"/>
            </w:pPr>
            <w:r>
              <w:t xml:space="preserve">M1</w:t>
            </w:r>
          </w:p>
        </w:tc>
        <w:tc>
          <w:tcPr/>
          <w:p>
            <w:pPr>
              <w:pStyle w:val="Compact"/>
              <w:jc w:val="left"/>
            </w:pPr>
            <w:r>
              <w:t xml:space="preserve">Finalized protocol &amp; EDA submission package</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Interim statistical analysis report (Month 3)</w:t>
            </w:r>
          </w:p>
        </w:tc>
        <w:tc>
          <w:tcPr/>
          <w:p>
            <w:pPr>
              <w:pStyle w:val="Compact"/>
              <w:jc w:val="left"/>
            </w:pPr>
            <w:r>
              <w:t xml:space="preserve">15 September 2025</w:t>
            </w:r>
          </w:p>
        </w:tc>
      </w:tr>
      <w:tr>
        <w:tc>
          <w:tcPr/>
          <w:p>
            <w:pPr>
              <w:pStyle w:val="Compact"/>
              <w:jc w:val="left"/>
            </w:pPr>
            <w:r>
              <w:t xml:space="preserve">M3</w:t>
            </w:r>
          </w:p>
        </w:tc>
        <w:tc>
          <w:tcPr/>
          <w:p>
            <w:pPr>
              <w:pStyle w:val="Compact"/>
              <w:jc w:val="left"/>
            </w:pPr>
            <w:r>
              <w:t xml:space="preserve">Complete dataset, final analysis, and 2 manuscript drafts</w:t>
            </w:r>
          </w:p>
        </w:tc>
        <w:tc>
          <w:tcPr/>
          <w:p>
            <w:pPr>
              <w:pStyle w:val="Compact"/>
              <w:jc w:val="left"/>
            </w:pPr>
            <w:r>
              <w:t xml:space="preserve">15 December 2025</w:t>
            </w:r>
          </w:p>
        </w:tc>
      </w:tr>
      <w:tr>
        <w:tc>
          <w:tcPr/>
          <w:p>
            <w:pPr>
              <w:pStyle w:val="Compact"/>
              <w:jc w:val="left"/>
            </w:pPr>
            <w:r>
              <w:t xml:space="preserve">M4</w:t>
            </w:r>
          </w:p>
        </w:tc>
        <w:tc>
          <w:tcPr/>
          <w:p>
            <w:pPr>
              <w:pStyle w:val="Compact"/>
              <w:jc w:val="left"/>
            </w:pPr>
            <w:r>
              <w:t xml:space="preserve">Final regulatory close-out report &amp; project handover</w:t>
            </w:r>
          </w:p>
        </w:tc>
        <w:tc>
          <w:tcPr/>
          <w:p>
            <w:pPr>
              <w:pStyle w:val="Compact"/>
              <w:jc w:val="left"/>
            </w:pPr>
            <w:r>
              <w:t xml:space="preserve">30 December 2025</w:t>
            </w:r>
          </w:p>
        </w:tc>
      </w:tr>
    </w:tbl>
    <w:bookmarkEnd w:id="25"/>
    <w:bookmarkStart w:id="28" w:name="acceptance-authorization"/>
    <w:p>
      <w:pPr>
        <w:pStyle w:val="Heading2"/>
      </w:pPr>
      <w:r>
        <w:t xml:space="preserve">6. Acceptance &amp; Authorization</w:t>
      </w:r>
    </w:p>
    <w:bookmarkStart w:id="26" w:name="prepared-issued-by"/>
    <w:p>
      <w:pPr>
        <w:pStyle w:val="Heading3"/>
      </w:pPr>
      <w:r>
        <w:t xml:space="preserve">Prepared &amp; Issued By</w:t>
      </w:r>
    </w:p>
    <w:p>
      <w:pPr>
        <w:pStyle w:val="FirstParagraph"/>
      </w:pPr>
      <w:r>
        <w:t xml:space="preserve">Nile Delta Research &amp; Clinical Sciences Institute</w:t>
      </w:r>
    </w:p>
    <w:p>
      <w:pPr>
        <w:pStyle w:val="BodyText"/>
      </w:pPr>
      <w:r>
        <w:t xml:space="preserve">Dr. Amira Hassan</w:t>
      </w:r>
      <w:r>
        <w:br/>
      </w:r>
      <w:r>
        <w:t xml:space="preserve">Director of Research Operations</w:t>
      </w:r>
    </w:p>
    <w:p>
      <w:pPr>
        <w:pStyle w:val="BodyText"/>
      </w:pPr>
      <w:r>
        <w:t xml:space="preserve">Signature &amp; Company Stamp</w:t>
      </w:r>
    </w:p>
    <w:bookmarkEnd w:id="26"/>
    <w:bookmarkStart w:id="27" w:name="client-acceptance"/>
    <w:p>
      <w:pPr>
        <w:pStyle w:val="Heading3"/>
      </w:pPr>
      <w:r>
        <w:t xml:space="preserve">Client Acceptance</w:t>
      </w:r>
    </w:p>
    <w:p>
      <w:pPr>
        <w:pStyle w:val="FirstParagraph"/>
      </w:pPr>
      <w:r>
        <w:t xml:space="preserve">Cairo University Hospital — Faculty of Medicine</w:t>
      </w:r>
    </w:p>
    <w:p>
      <w:pPr>
        <w:pStyle w:val="BodyText"/>
      </w:pPr>
      <w:r>
        <w:t xml:space="preserve">Dr. Mahmoud El-Sayed</w:t>
      </w:r>
      <w:r>
        <w:br/>
      </w:r>
      <w:r>
        <w:t xml:space="preserve">Head of Oncology Department</w:t>
      </w:r>
    </w:p>
    <w:p>
      <w:pPr>
        <w:pStyle w:val="BodyText"/>
      </w:pPr>
      <w:r>
        <w:t xml:space="preserve">Signature &amp; Date</w:t>
      </w:r>
    </w:p>
    <w:bookmarkEnd w:id="27"/>
    <w:p>
      <w:pPr>
        <w:pStyle w:val="BodyText"/>
      </w:pPr>
      <w:r>
        <w:rPr>
          <w:bCs/>
          <w:b/>
        </w:rPr>
        <w:t xml:space="preserve">Nile Delta Research &amp; Clinical Sciences Institute</w:t>
      </w:r>
      <w:r>
        <w:t xml:space="preserve"> </w:t>
      </w:r>
      <w:r>
        <w:t xml:space="preserve">| 42 El Tahrir Square, Downtown, Egypt Cairo 11511 | CR: 184729 | Tax ID: 552-881-334</w:t>
      </w:r>
    </w:p>
    <w:p>
      <w:pPr>
        <w:pStyle w:val="BodyText"/>
      </w:pPr>
      <w:r>
        <w:t xml:space="preserve">This Quotation Estimate is a formal commercial document. It does not constitute a binding contract until countersigned by both parties. All references to Egypt Cairo denote the geographic and regulatory jurisdiction governing this engagement.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Egypt Cairo</dc:title>
  <dc:creator/>
  <dc:language>en</dc:language>
  <cp:keywords/>
  <dcterms:created xsi:type="dcterms:W3CDTF">2026-10-10T05:53:34Z</dcterms:created>
  <dcterms:modified xsi:type="dcterms:W3CDTF">2026-10-10T05:53:34Z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