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t xml:space="preserve">Professional Medical Researcher Services — France Marseille Region</w:t>
      </w:r>
    </w:p>
    <w:p>
      <w:pPr>
        <w:pStyle w:val="BodyText"/>
      </w:pPr>
      <w:r>
        <w:t xml:space="preserve">Document Reference: QEST-MR-2025-FRM-0047 | Issued: 15 June 2025 | Valid Until: 15 September 2025</w:t>
      </w:r>
    </w:p>
    <w:bookmarkEnd w:id="20"/>
    <w:bookmarkStart w:id="21" w:name="prepared-by"/>
    <w:p>
      <w:pPr>
        <w:pStyle w:val="Heading3"/>
      </w:pPr>
      <w:r>
        <w:t xml:space="preserve">Prepared By</w:t>
      </w:r>
    </w:p>
    <w:p>
      <w:pPr>
        <w:pStyle w:val="FirstParagraph"/>
      </w:pPr>
      <w:r>
        <w:rPr>
          <w:bCs/>
          <w:b/>
        </w:rPr>
        <w:t xml:space="preserve">Provence Biomedical Consulting SARL</w:t>
      </w:r>
    </w:p>
    <w:p>
      <w:pPr>
        <w:pStyle w:val="BodyText"/>
      </w:pPr>
      <w:r>
        <w:t xml:space="preserve">12 Boulevard du Littoral</w:t>
      </w:r>
    </w:p>
    <w:p>
      <w:pPr>
        <w:pStyle w:val="BodyText"/>
      </w:pPr>
      <w:r>
        <w:t xml:space="preserve">13007 Marseille, France</w:t>
      </w:r>
    </w:p>
    <w:p>
      <w:pPr>
        <w:pStyle w:val="BodyText"/>
      </w:pPr>
      <w:r>
        <w:t xml:space="preserve">Tel: +33 (0)4 91 22 33 44</w:t>
      </w:r>
    </w:p>
    <w:p>
      <w:pPr>
        <w:pStyle w:val="BodyText"/>
      </w:pPr>
      <w:r>
        <w:t xml:space="preserve">Email: estimates@provence-biomed.fr</w:t>
      </w:r>
    </w:p>
    <w:p>
      <w:pPr>
        <w:pStyle w:val="BodyText"/>
      </w:pPr>
      <w:r>
        <w:t xml:space="preserve">SIRET: 892 445 671 00032</w:t>
      </w:r>
    </w:p>
    <w:bookmarkEnd w:id="21"/>
    <w:bookmarkStart w:id="22" w:name="prepared-for"/>
    <w:p>
      <w:pPr>
        <w:pStyle w:val="Heading3"/>
      </w:pPr>
      <w:r>
        <w:t xml:space="preserve">Prepared For</w:t>
      </w:r>
    </w:p>
    <w:p>
      <w:pPr>
        <w:pStyle w:val="FirstParagraph"/>
      </w:pPr>
      <w:r>
        <w:rPr>
          <w:bCs/>
          <w:b/>
        </w:rPr>
        <w:t xml:space="preserve">CHU de Marseille — Department of Clinical Research</w:t>
      </w:r>
    </w:p>
    <w:p>
      <w:pPr>
        <w:pStyle w:val="BodyText"/>
      </w:pPr>
      <w:r>
        <w:t xml:space="preserve">2 Avenue du Docton Lavalq</w:t>
      </w:r>
    </w:p>
    <w:p>
      <w:pPr>
        <w:pStyle w:val="BodyText"/>
      </w:pPr>
      <w:r>
        <w:t xml:space="preserve">13385 Marseille Cedex 05, France</w:t>
      </w:r>
    </w:p>
    <w:p>
      <w:pPr>
        <w:pStyle w:val="BodyText"/>
      </w:pPr>
      <w:r>
        <w:t xml:space="preserve">Attn: Dr. Hélène Marchand, Head of Research</w:t>
      </w:r>
    </w:p>
    <w:p>
      <w:pPr>
        <w:pStyle w:val="BodyText"/>
      </w:pPr>
      <w:r>
        <w:t xml:space="preserve">Contact: h.marchand@chu-marseille.fr</w:t>
      </w:r>
    </w:p>
    <w:bookmarkEnd w:id="22"/>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Provence Biomedical Consulting SARL to formally outline the projected costs, deliverables, and professional engagement terms for the recruitment and deployment of a qualified</w:t>
      </w:r>
      <w:r>
        <w:t xml:space="preserve"> </w:t>
      </w:r>
      <w:r>
        <w:t xml:space="preserve">Medical Researcher</w:t>
      </w:r>
      <w:r>
        <w:t xml:space="preserve"> </w:t>
      </w:r>
      <w:r>
        <w:t xml:space="preserve">to support ongoing clinical and translational research programmes within the</w:t>
      </w:r>
      <w:r>
        <w:t xml:space="preserve"> </w:t>
      </w:r>
      <w:r>
        <w:t xml:space="preserve">France Marseille</w:t>
      </w:r>
      <w:r>
        <w:t xml:space="preserve"> </w:t>
      </w:r>
      <w:r>
        <w:t xml:space="preserve">metropolitan area. This document serves as a binding financial proposal and shall remain valid for a period of ninety (90) calendar days from the date of issuance, after which all rates and conditions herein may be subject to revision in accordance with prevailing market conditions in the Provence-Alpes-Côte d'Azur region.</w:t>
      </w:r>
    </w:p>
    <w:p>
      <w:pPr>
        <w:pStyle w:val="BodyText"/>
      </w:pPr>
      <w:r>
        <w:t xml:space="preserve">2. Scope of Services — Medical Researcher Engagement</w:t>
      </w:r>
    </w:p>
    <w:p>
      <w:pPr>
        <w:pStyle w:val="BodyText"/>
      </w:pPr>
      <w:r>
        <w:t xml:space="preserve">The</w:t>
      </w:r>
      <w:r>
        <w:t xml:space="preserve"> </w:t>
      </w:r>
      <w:r>
        <w:t xml:space="preserve">Medical Researcher</w:t>
      </w:r>
      <w:r>
        <w:t xml:space="preserve"> </w:t>
      </w:r>
      <w:r>
        <w:t xml:space="preserve">engaged under this Quotation Estimate shall provide the following professional services in support of the client's research infrastructure in France Marseille:</w:t>
      </w:r>
    </w:p>
    <w:p>
      <w:pPr>
        <w:numPr>
          <w:ilvl w:val="0"/>
          <w:numId w:val="1001"/>
        </w:numPr>
        <w:pStyle w:val="Compact"/>
      </w:pPr>
      <w:r>
        <w:t xml:space="preserve">Design and execution of Phase I and Phase II clinical trial protocols in oncology and cardiovascular medicine.</w:t>
      </w:r>
    </w:p>
    <w:p>
      <w:pPr>
        <w:numPr>
          <w:ilvl w:val="0"/>
          <w:numId w:val="1001"/>
        </w:numPr>
        <w:pStyle w:val="Compact"/>
      </w:pPr>
      <w:r>
        <w:t xml:space="preserve">Supervision of a team of up to six (6) research assistants and laboratory technicians based at the Marseille campus.</w:t>
      </w:r>
    </w:p>
    <w:p>
      <w:pPr>
        <w:numPr>
          <w:ilvl w:val="0"/>
          <w:numId w:val="1001"/>
        </w:numPr>
        <w:pStyle w:val="Compact"/>
      </w:pPr>
      <w:r>
        <w:t xml:space="preserve">Conduct of systematic literature reviews, meta-analyses, and statistical modelling using validated methodologies.</w:t>
      </w:r>
    </w:p>
    <w:p>
      <w:pPr>
        <w:numPr>
          <w:ilvl w:val="0"/>
          <w:numId w:val="1001"/>
        </w:numPr>
        <w:pStyle w:val="Compact"/>
      </w:pPr>
      <w:r>
        <w:t xml:space="preserve">Preparation and submission of research grant applications to ANR (Agence Nationale de la Recherche) and European Horizon Europe funding bodies.</w:t>
      </w:r>
    </w:p>
    <w:p>
      <w:pPr>
        <w:numPr>
          <w:ilvl w:val="0"/>
          <w:numId w:val="1001"/>
        </w:numPr>
        <w:pStyle w:val="Compact"/>
      </w:pPr>
      <w:r>
        <w:t xml:space="preserve">Authorship and co-authorship of peer-reviewed publications in internationally recognised medical journals.</w:t>
      </w:r>
    </w:p>
    <w:p>
      <w:pPr>
        <w:numPr>
          <w:ilvl w:val="0"/>
          <w:numId w:val="1001"/>
        </w:numPr>
        <w:pStyle w:val="Compact"/>
      </w:pPr>
      <w:r>
        <w:t xml:space="preserve">Compliance oversight in accordance with French public health regulations (Code de la Santé Publique) and EU Clinical Trials Regulation (EU) 2014/536.</w:t>
      </w:r>
    </w:p>
    <w:p>
      <w:pPr>
        <w:numPr>
          <w:ilvl w:val="0"/>
          <w:numId w:val="1001"/>
        </w:numPr>
        <w:pStyle w:val="Compact"/>
      </w:pPr>
      <w:r>
        <w:t xml:space="preserve">Monthly progress reporting and quarterly strategic review meetings held at the client's premises in Marseille.</w:t>
      </w:r>
    </w:p>
    <w:p>
      <w:pPr>
        <w:pStyle w:val="FirstParagraph"/>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Estimated Total (EUR)</w:t>
            </w:r>
          </w:p>
        </w:tc>
      </w:tr>
      <w:tr>
        <w:tc>
          <w:tcPr/>
          <w:p>
            <w:pPr>
              <w:pStyle w:val="Compact"/>
              <w:jc w:val="left"/>
            </w:pPr>
            <w:r>
              <w:t xml:space="preserve">01</w:t>
            </w:r>
          </w:p>
        </w:tc>
        <w:tc>
          <w:tcPr/>
          <w:p>
            <w:pPr>
              <w:pStyle w:val="Compact"/>
              <w:jc w:val="left"/>
            </w:pPr>
            <w:r>
              <w:t xml:space="preserve">Senior Medical Researcher — full-time professional engagement (40 hrs/week) including protocol design, data analysis, and publication support</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Research team supervision and mentoring (up to 6 subordinates) — administrative and pedagogical oversight</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Grant application preparation and submission (minimum 3 applications per year to ANR / Horizon Europe)</w:t>
            </w:r>
          </w:p>
        </w:tc>
        <w:tc>
          <w:tcPr/>
          <w:p>
            <w:pPr>
              <w:pStyle w:val="Compact"/>
              <w:jc w:val="left"/>
            </w:pPr>
            <w:r>
              <w:t xml:space="preserve">Per application</w:t>
            </w:r>
          </w:p>
        </w:tc>
        <w:tc>
          <w:tcPr/>
          <w:p>
            <w:pPr>
              <w:pStyle w:val="Compact"/>
              <w:jc w:val="left"/>
            </w:pPr>
            <w:r>
              <w:t xml:space="preserve">€3,800 / application</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Statistical modelling and biostatistical consultation (SAS, R, SPSS) — ad hoc sessions</w:t>
            </w:r>
          </w:p>
        </w:tc>
        <w:tc>
          <w:tcPr/>
          <w:p>
            <w:pPr>
              <w:pStyle w:val="Compact"/>
              <w:jc w:val="left"/>
            </w:pPr>
            <w:r>
              <w:t xml:space="preserve">20 hours total</w:t>
            </w:r>
          </w:p>
        </w:tc>
        <w:tc>
          <w:tcPr/>
          <w:p>
            <w:pPr>
              <w:pStyle w:val="Compact"/>
              <w:jc w:val="left"/>
            </w:pPr>
            <w:r>
              <w:t xml:space="preserve">€185 / hour</w:t>
            </w:r>
          </w:p>
        </w:tc>
        <w:tc>
          <w:tcPr/>
          <w:p>
            <w:pPr>
              <w:pStyle w:val="Compact"/>
              <w:jc w:val="left"/>
            </w:pPr>
            <w:r>
              <w:t xml:space="preserve">€3,700.00</w:t>
            </w:r>
          </w:p>
        </w:tc>
      </w:tr>
      <w:tr>
        <w:tc>
          <w:tcPr/>
          <w:p>
            <w:pPr>
              <w:pStyle w:val="Compact"/>
              <w:jc w:val="left"/>
            </w:pPr>
            <w:r>
              <w:t xml:space="preserve">05</w:t>
            </w:r>
          </w:p>
        </w:tc>
        <w:tc>
          <w:tcPr/>
          <w:p>
            <w:pPr>
              <w:pStyle w:val="Compact"/>
              <w:jc w:val="left"/>
            </w:pPr>
            <w:r>
              <w:t xml:space="preserve">Regulatory compliance audit and documentation (French ANSM and EU CTR alignment)</w:t>
            </w:r>
          </w:p>
        </w:tc>
        <w:tc>
          <w:tcPr/>
          <w:p>
            <w:pPr>
              <w:pStyle w:val="Compact"/>
              <w:jc w:val="left"/>
            </w:pPr>
            <w:r>
              <w:t xml:space="preserve">One-time</w:t>
            </w:r>
          </w:p>
        </w:tc>
        <w:tc>
          <w:tcPr/>
          <w:p>
            <w:pPr>
              <w:pStyle w:val="Compact"/>
              <w:jc w:val="left"/>
            </w:pPr>
            <w:r>
              <w:t xml:space="preserve">€4,500 / audit</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Travel and accommodation within the France Marseille metropolitan area for on-site meetings, laboratory visits, and conference attendance</w:t>
            </w:r>
          </w:p>
        </w:tc>
        <w:tc>
          <w:tcPr/>
          <w:p>
            <w:pPr>
              <w:pStyle w:val="Compact"/>
              <w:jc w:val="left"/>
            </w:pPr>
            <w:r>
              <w:t xml:space="preserve">12 months</w:t>
            </w:r>
          </w:p>
        </w:tc>
        <w:tc>
          <w:tcPr/>
          <w:p>
            <w:pPr>
              <w:pStyle w:val="Compact"/>
              <w:jc w:val="left"/>
            </w:pPr>
            <w:r>
              <w:t xml:space="preserve">€600 / month</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Publication support — journal submission fees, open-access charges, and editorial assistance (up to 4 papers)</w:t>
            </w:r>
          </w:p>
        </w:tc>
        <w:tc>
          <w:tcPr/>
          <w:p>
            <w:pPr>
              <w:pStyle w:val="Compact"/>
              <w:jc w:val="left"/>
            </w:pPr>
            <w:r>
              <w:t xml:space="preserve">Per paper</w:t>
            </w:r>
          </w:p>
        </w:tc>
        <w:tc>
          <w:tcPr/>
          <w:p>
            <w:pPr>
              <w:pStyle w:val="Compact"/>
              <w:jc w:val="left"/>
            </w:pPr>
            <w:r>
              <w:t xml:space="preserve">€1,500 / paper</w:t>
            </w:r>
          </w:p>
        </w:tc>
        <w:tc>
          <w:tcPr/>
          <w:p>
            <w:pPr>
              <w:pStyle w:val="Compact"/>
              <w:jc w:val="left"/>
            </w:pPr>
            <w:r>
              <w:t xml:space="preserve">€6,000.00</w:t>
            </w:r>
          </w:p>
        </w:tc>
      </w:tr>
      <w:tr>
        <w:tc>
          <w:tcPr>
            <w:gridSpan w:val="4"/>
          </w:tcPr>
          <w:p>
            <w:pPr>
              <w:pStyle w:val="Compact"/>
              <w:jc w:val="right"/>
            </w:pPr>
            <w:r>
              <w:t xml:space="preserve">TOTAL ESTIMATED COST (excl. TVA 20%)</w:t>
            </w:r>
          </w:p>
        </w:tc>
        <w:tc>
          <w:tcPr/>
          <w:p>
            <w:pPr>
              <w:pStyle w:val="Compact"/>
              <w:jc w:val="left"/>
            </w:pPr>
            <w:r>
              <w:t xml:space="preserve">€149,200.00</w:t>
            </w:r>
          </w:p>
        </w:tc>
      </w:tr>
      <w:tr>
        <w:tc>
          <w:tcPr>
            <w:gridSpan w:val="4"/>
          </w:tcPr>
          <w:p>
            <w:pPr>
              <w:pStyle w:val="Compact"/>
              <w:jc w:val="right"/>
            </w:pPr>
            <w:r>
              <w:t xml:space="preserve">TVA (Valeur Ajoutée) — 20%</w:t>
            </w:r>
          </w:p>
        </w:tc>
        <w:tc>
          <w:tcPr/>
          <w:p>
            <w:pPr>
              <w:pStyle w:val="Compact"/>
              <w:jc w:val="left"/>
            </w:pPr>
            <w:r>
              <w:t xml:space="preserve">€29,840.00</w:t>
            </w:r>
          </w:p>
        </w:tc>
      </w:tr>
      <w:tr>
        <w:tc>
          <w:tcPr>
            <w:gridSpan w:val="4"/>
          </w:tcPr>
          <w:p>
            <w:pPr>
              <w:pStyle w:val="Compact"/>
              <w:jc w:val="right"/>
            </w:pPr>
            <w:r>
              <w:t xml:space="preserve">GRAND TOTAL (TTC)</w:t>
            </w:r>
          </w:p>
        </w:tc>
        <w:tc>
          <w:tcPr/>
          <w:p>
            <w:pPr>
              <w:pStyle w:val="Compact"/>
              <w:jc w:val="left"/>
            </w:pPr>
            <w:r>
              <w:t xml:space="preserve">€179,040.00</w:t>
            </w:r>
          </w:p>
        </w:tc>
      </w:tr>
    </w:tbl>
    <w:p>
      <w:pPr>
        <w:pStyle w:val="BodyText"/>
      </w:pPr>
      <w:r>
        <w:t xml:space="preserve">4. Payment Terms</w:t>
      </w:r>
    </w:p>
    <w:p>
      <w:pPr>
        <w:pStyle w:val="BodyText"/>
      </w:pPr>
      <w:r>
        <w:t xml:space="preserve">Payment shall be structured as follows: an initial deposit of twenty-five percent (25%) of the total Quotation Estimate value, amounting to €44,760.00 TTC, due within fifteen (15) business days of contract signature. The remaining balance shall be invoiced on a quarterly basis in arrears, with each invoice payable within thirty (30) days of receipt. All payments shall be made via bank transfer to the account of Provence Biomedical Consulting SARL, BNP Paribas, IBAN: FR76 3000 4000 0100 0000 0000 000, BIC: BNPAFRPPXXX. Late payments shall incur interest at the rate prescribed by Article L441-10 of the French Commercial Code.</w:t>
      </w:r>
    </w:p>
    <w:p>
      <w:pPr>
        <w:pStyle w:val="BodyText"/>
      </w:pPr>
      <w:r>
        <w:t xml:space="preserve">5. Terms and Conditions</w:t>
      </w:r>
    </w:p>
    <w:p>
      <w:pPr>
        <w:pStyle w:val="BodyText"/>
      </w:pPr>
      <w:r>
        <w:t xml:space="preserve">This Quotation Estimate is non-binding until formally accepted in writing by the client. The Medical Researcher named under this engagement shall be subject to a background verification process in compliance with French data protection law (RGPD / GDPR). All intellectual property generated during the course of this engagement shall be jointly owned by the client and the Medical Researcher, with specific licensing terms to be defined in a separate IP agreement. The provider reserves the right to substitute the named Medical Researcher with a professional of equivalent or superior qualifications, subject to prior written consent of the client. Force majeure events, including but not limited to public health emergencies affecting the France Marseille region, shall suspend contractual obligations without penalty to either party. Disputes arising from this Quotation Estimate shall be resolved by the competent courts of Marseille, France, in accordance with French civil law.</w:t>
      </w:r>
    </w:p>
    <w:p>
      <w:pPr>
        <w:pStyle w:val="BodyText"/>
      </w:pPr>
      <w:r>
        <w:t xml:space="preserve">6. Acceptance and Signatures</w:t>
      </w:r>
    </w:p>
    <w:p>
      <w:pPr>
        <w:pStyle w:val="BodyText"/>
      </w:pPr>
      <w:r>
        <w:rPr>
          <w:bCs/>
          <w:b/>
        </w:rPr>
        <w:t xml:space="preserve">For Provence Biomedical Consulting SARL</w:t>
      </w:r>
    </w:p>
    <w:p>
      <w:pPr>
        <w:pStyle w:val="BodyText"/>
      </w:pPr>
      <w:r>
        <w:t xml:space="preserve">Dr. Antoine Lefèvre, Managing Director</w:t>
      </w:r>
    </w:p>
    <w:p>
      <w:pPr>
        <w:pStyle w:val="BodyText"/>
      </w:pPr>
      <w:r>
        <w:t xml:space="preserve">Date: _______________</w:t>
      </w:r>
    </w:p>
    <w:p>
      <w:pPr>
        <w:pStyle w:val="BodyText"/>
      </w:pPr>
      <w:r>
        <w:rPr>
          <w:bCs/>
          <w:b/>
        </w:rPr>
        <w:t xml:space="preserve">For CHU de Marseille — Clinical Research Dept.</w:t>
      </w:r>
    </w:p>
    <w:p>
      <w:pPr>
        <w:pStyle w:val="BodyText"/>
      </w:pPr>
      <w:r>
        <w:t xml:space="preserve">Dr. Hélène Marchand, Head of Research</w:t>
      </w:r>
    </w:p>
    <w:p>
      <w:pPr>
        <w:pStyle w:val="BodyText"/>
      </w:pPr>
      <w:r>
        <w:t xml:space="preserve">Date: _______________</w:t>
      </w:r>
    </w:p>
    <w:p>
      <w:pPr>
        <w:pStyle w:val="BodyText"/>
      </w:pPr>
      <w:r>
        <w:rPr>
          <w:bCs/>
          <w:b/>
        </w:rPr>
        <w:t xml:space="preserve">Important Notice:</w:t>
      </w:r>
      <w:r>
        <w:t xml:space="preserve"> </w:t>
      </w:r>
      <w:r>
        <w:t xml:space="preserve">This Quotation Estimate (Ref. QEST-MR-2025-FRM-0047) is prepared exclusively for the client identified above and for the specific Medical Researcher engagement in France Marseille described herein. It does not constitute a guarantee of research outcomes. All figures are estimates based on current market rates in the Provence-Alpes-Côte d'Azur region as of June 2025 and are subject to adjustment upon formal contract execution. This document is printed on recycled paper in accordance with the environmental policies of Provence Biomedical Consulting SARL.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Services - France Marseille</dc:title>
  <dc:creator/>
  <dc:language>en</dc:language>
  <cp:keywords/>
  <dcterms:created xsi:type="dcterms:W3CDTF">2026-10-10T08:09:42Z</dcterms:created>
  <dcterms:modified xsi:type="dcterms:W3CDTF">2026-10-10T08:09:42Z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