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quotation-estimate"/>
    <w:p>
      <w:pPr>
        <w:pStyle w:val="Heading1"/>
      </w:pPr>
      <w:r>
        <w:t xml:space="preserve">QUOTATION ESTIMATE</w:t>
      </w:r>
    </w:p>
    <w:p>
      <w:pPr>
        <w:pStyle w:val="FirstParagraph"/>
      </w:pPr>
      <w:r>
        <w:t xml:space="preserve">Professional Medical Researcher Services — France Paris</w:t>
      </w:r>
    </w:p>
    <w:p>
      <w:pPr>
        <w:pStyle w:val="BodyText"/>
      </w:pPr>
      <w:r>
        <w:t xml:space="preserve">Ref: QTE-MR-FR-2025-0047 | Issued: 15 June 2025</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Dr. Élodie Marchand, Lead Consultant — Paris Biomedical Research Group (PBRG)</w:t>
            </w:r>
          </w:p>
        </w:tc>
      </w:tr>
      <w:tr>
        <w:tc>
          <w:tcPr/>
          <w:p>
            <w:pPr>
              <w:pStyle w:val="Compact"/>
              <w:jc w:val="left"/>
            </w:pPr>
            <w:r>
              <w:t xml:space="preserve">Address:</w:t>
            </w:r>
          </w:p>
        </w:tc>
        <w:tc>
          <w:tcPr/>
          <w:p>
            <w:pPr>
              <w:pStyle w:val="Compact"/>
              <w:jc w:val="left"/>
            </w:pPr>
            <w:r>
              <w:t xml:space="preserve">14 Rue de la Convention, 75116 Paris, France</w:t>
            </w:r>
          </w:p>
        </w:tc>
      </w:tr>
      <w:tr>
        <w:tc>
          <w:tcPr/>
          <w:p>
            <w:pPr>
              <w:pStyle w:val="Compact"/>
              <w:jc w:val="left"/>
            </w:pPr>
            <w:r>
              <w:t xml:space="preserve">Client:</w:t>
            </w:r>
          </w:p>
        </w:tc>
        <w:tc>
          <w:tcPr/>
          <w:p>
            <w:pPr>
              <w:pStyle w:val="Compact"/>
              <w:jc w:val="left"/>
            </w:pPr>
            <w:r>
              <w:t xml:space="preserve">Institut de Recherche Clinique Avancée (IRCA), 22 Avenue du Général Leclerc, 75014 Paris, France</w:t>
            </w:r>
          </w:p>
        </w:tc>
      </w:tr>
      <w:tr>
        <w:tc>
          <w:tcPr/>
          <w:p>
            <w:pPr>
              <w:pStyle w:val="Compact"/>
              <w:jc w:val="left"/>
            </w:pPr>
            <w:r>
              <w:t xml:space="preserve">Quotation Validity:</w:t>
            </w:r>
          </w:p>
        </w:tc>
        <w:tc>
          <w:tcPr/>
          <w:p>
            <w:pPr>
              <w:pStyle w:val="Compact"/>
              <w:jc w:val="left"/>
            </w:pPr>
            <w:r>
              <w:t xml:space="preserve">30 days from date of issue (expires 15 July 2025)</w:t>
            </w:r>
          </w:p>
        </w:tc>
      </w:tr>
      <w:tr>
        <w:tc>
          <w:tcPr/>
          <w:p>
            <w:pPr>
              <w:pStyle w:val="Compact"/>
              <w:jc w:val="left"/>
            </w:pPr>
            <w:r>
              <w:t xml:space="preserve">Currency:</w:t>
            </w:r>
          </w:p>
        </w:tc>
        <w:tc>
          <w:tcPr/>
          <w:p>
            <w:pPr>
              <w:pStyle w:val="Compact"/>
              <w:jc w:val="left"/>
            </w:pPr>
            <w:r>
              <w:t xml:space="preserve">Euro (EUR) — all amounts exclusive of French VAT (TVA 20%)</w:t>
            </w:r>
          </w:p>
        </w:tc>
      </w:tr>
      <w:tr>
        <w:tc>
          <w:tcPr/>
          <w:p>
            <w:pPr>
              <w:pStyle w:val="Compact"/>
              <w:jc w:val="left"/>
            </w:pPr>
            <w:r>
              <w:t xml:space="preserve">Project Duration:</w:t>
            </w:r>
          </w:p>
        </w:tc>
        <w:tc>
          <w:tcPr/>
          <w:p>
            <w:pPr>
              <w:pStyle w:val="Compact"/>
              <w:jc w:val="left"/>
            </w:pPr>
            <w:r>
              <w:t xml:space="preserve">12 months (July 2025 – June 2026)</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Paris Biomedical Research Group (PBRG) to provide a comprehensive financial and operational breakdown for the engagement of a senior</w:t>
      </w:r>
      <w:r>
        <w:t xml:space="preserve"> </w:t>
      </w:r>
      <w:r>
        <w:t xml:space="preserve">Medical Researcher</w:t>
      </w:r>
      <w:r>
        <w:t xml:space="preserve"> </w:t>
      </w:r>
      <w:r>
        <w:t xml:space="preserve">to support the Institut de Recherche Clinique Avancée (IRCA) in conducting advanced clinical and translational research programmes within the</w:t>
      </w:r>
      <w:r>
        <w:t xml:space="preserve"> </w:t>
      </w:r>
      <w:r>
        <w:t xml:space="preserve">France Paris</w:t>
      </w:r>
      <w:r>
        <w:t xml:space="preserve"> </w:t>
      </w:r>
      <w:r>
        <w:t xml:space="preserve">metropolitan area. This document outlines the scope of services, associated costs, payment milestones, and contractual terms governing the proposed engagement. All pricing reflects current market rates for qualified biomedical professionals operating in the France Paris region as of mid-2025.</w:t>
      </w:r>
    </w:p>
    <w:bookmarkEnd w:id="21"/>
    <w:bookmarkStart w:id="22" w:name="Xb1e69cda2657fb3522d5f06f68500be55311324"/>
    <w:p>
      <w:pPr>
        <w:pStyle w:val="Heading2"/>
      </w:pPr>
      <w:r>
        <w:t xml:space="preserve">2. Scope of Services — Medical Researcher Engagement</w:t>
      </w:r>
    </w:p>
    <w:p>
      <w:pPr>
        <w:pStyle w:val="FirstParagraph"/>
      </w:pPr>
      <w:r>
        <w:t xml:space="preserve">The</w:t>
      </w:r>
      <w:r>
        <w:t xml:space="preserve"> </w:t>
      </w:r>
      <w:r>
        <w:t xml:space="preserve">Medical Researcher</w:t>
      </w:r>
      <w:r>
        <w:t xml:space="preserve"> </w:t>
      </w:r>
      <w:r>
        <w:t xml:space="preserve">engaged under this Quotation Estimate shall perform the following duties and deliverables throughout the project lifecycle in France Paris:</w:t>
      </w:r>
    </w:p>
    <w:p>
      <w:pPr>
        <w:numPr>
          <w:ilvl w:val="0"/>
          <w:numId w:val="1001"/>
        </w:numPr>
        <w:pStyle w:val="Compact"/>
      </w:pPr>
      <w:r>
        <w:t xml:space="preserve">Design and execution of Phase II and Phase III clinical trial protocols in oncology and rare genetic disorders, conducted in partnership with Hôpital Pitié-Salpêtrière and Institut Curie in France Paris.</w:t>
      </w:r>
    </w:p>
    <w:p>
      <w:pPr>
        <w:numPr>
          <w:ilvl w:val="0"/>
          <w:numId w:val="1001"/>
        </w:numPr>
        <w:pStyle w:val="Compact"/>
      </w:pPr>
      <w:r>
        <w:t xml:space="preserve">Supervision of a team of four junior research assistants and two laboratory technicians based at the IRCA facility in the 14th arrondissement of Paris.</w:t>
      </w:r>
    </w:p>
    <w:p>
      <w:pPr>
        <w:numPr>
          <w:ilvl w:val="0"/>
          <w:numId w:val="1001"/>
        </w:numPr>
        <w:pStyle w:val="Compact"/>
      </w:pPr>
      <w:r>
        <w:t xml:space="preserve">Conduct of systematic literature reviews, meta-analyses, and statistical modelling using R, SAS, and SPSS platforms for peer-reviewed publication in indexed journals.</w:t>
      </w:r>
    </w:p>
    <w:p>
      <w:pPr>
        <w:numPr>
          <w:ilvl w:val="0"/>
          <w:numId w:val="1001"/>
        </w:numPr>
        <w:pStyle w:val="Compact"/>
      </w:pPr>
      <w:r>
        <w:t xml:space="preserve">Preparation and submission of regulatory documentation to the French National Agency for Medicines and Health Products Safety (ANSM) and the European Medicines Agency (EMA) as required for France Paris-based trials.</w:t>
      </w:r>
    </w:p>
    <w:p>
      <w:pPr>
        <w:numPr>
          <w:ilvl w:val="0"/>
          <w:numId w:val="1001"/>
        </w:numPr>
        <w:pStyle w:val="Compact"/>
      </w:pPr>
      <w:r>
        <w:t xml:space="preserve">Participation in at least three (3) international medical conferences per year, representing the client organisation in France Paris and abroad.</w:t>
      </w:r>
    </w:p>
    <w:p>
      <w:pPr>
        <w:numPr>
          <w:ilvl w:val="0"/>
          <w:numId w:val="1001"/>
        </w:numPr>
        <w:pStyle w:val="Compact"/>
      </w:pPr>
      <w:r>
        <w:t xml:space="preserve">Monthly progress reporting to the IRCA scientific board, including interim data analysis, risk assessments, and budget variance reports.</w:t>
      </w:r>
    </w:p>
    <w:p>
      <w:pPr>
        <w:numPr>
          <w:ilvl w:val="0"/>
          <w:numId w:val="1001"/>
        </w:numPr>
        <w:pStyle w:val="Compact"/>
      </w:pPr>
      <w:r>
        <w:t xml:space="preserve">Mentorship of two doctoral candidates affiliated with Université Paris Cité, contributing to the academic research ecosystem in France Paris.</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Rate (EUR)</w:t>
            </w:r>
          </w:p>
        </w:tc>
        <w:tc>
          <w:tcPr/>
          <w:p>
            <w:pPr>
              <w:pStyle w:val="Compact"/>
              <w:jc w:val="left"/>
            </w:pPr>
            <w:r>
              <w:t xml:space="preserve">Quantity</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Senior Medical Researcher — monthly professional fee (40 hrs/week)</w:t>
            </w:r>
          </w:p>
        </w:tc>
        <w:tc>
          <w:tcPr/>
          <w:p>
            <w:pPr>
              <w:pStyle w:val="Compact"/>
              <w:jc w:val="left"/>
            </w:pPr>
            <w:r>
              <w:t xml:space="preserve">Month</w:t>
            </w:r>
          </w:p>
        </w:tc>
        <w:tc>
          <w:tcPr/>
          <w:p>
            <w:pPr>
              <w:pStyle w:val="Compact"/>
              <w:jc w:val="left"/>
            </w:pPr>
            <w:r>
              <w:t xml:space="preserve">12,500.00</w:t>
            </w:r>
          </w:p>
        </w:tc>
        <w:tc>
          <w:tcPr/>
          <w:p>
            <w:pPr>
              <w:pStyle w:val="Compact"/>
              <w:jc w:val="left"/>
            </w:pPr>
            <w:r>
              <w:t xml:space="preserve">12</w:t>
            </w:r>
          </w:p>
        </w:tc>
        <w:tc>
          <w:tcPr/>
          <w:p>
            <w:pPr>
              <w:pStyle w:val="Compact"/>
              <w:jc w:val="left"/>
            </w:pPr>
            <w:r>
              <w:t xml:space="preserve">150,000.00</w:t>
            </w:r>
          </w:p>
        </w:tc>
      </w:tr>
      <w:tr>
        <w:tc>
          <w:tcPr/>
          <w:p>
            <w:pPr>
              <w:pStyle w:val="Compact"/>
              <w:jc w:val="left"/>
            </w:pPr>
            <w:r>
              <w:t xml:space="preserve">02</w:t>
            </w:r>
          </w:p>
        </w:tc>
        <w:tc>
          <w:tcPr/>
          <w:p>
            <w:pPr>
              <w:pStyle w:val="Compact"/>
              <w:jc w:val="left"/>
            </w:pPr>
            <w:r>
              <w:t xml:space="preserve">Junior Research Assistant supervision &amp; coordination</w:t>
            </w:r>
          </w:p>
        </w:tc>
        <w:tc>
          <w:tcPr/>
          <w:p>
            <w:pPr>
              <w:pStyle w:val="Compact"/>
              <w:jc w:val="left"/>
            </w:pPr>
            <w:r>
              <w:t xml:space="preserve">Month</w:t>
            </w:r>
          </w:p>
        </w:tc>
        <w:tc>
          <w:tcPr/>
          <w:p>
            <w:pPr>
              <w:pStyle w:val="Compact"/>
              <w:jc w:val="left"/>
            </w:pPr>
            <w:r>
              <w:t xml:space="preserve">3,200.00</w:t>
            </w:r>
          </w:p>
        </w:tc>
        <w:tc>
          <w:tcPr/>
          <w:p>
            <w:pPr>
              <w:pStyle w:val="Compact"/>
              <w:jc w:val="left"/>
            </w:pPr>
            <w:r>
              <w:t xml:space="preserve">12</w:t>
            </w:r>
          </w:p>
        </w:tc>
        <w:tc>
          <w:tcPr/>
          <w:p>
            <w:pPr>
              <w:pStyle w:val="Compact"/>
              <w:jc w:val="left"/>
            </w:pPr>
            <w:r>
              <w:t xml:space="preserve">38,400.00</w:t>
            </w:r>
          </w:p>
        </w:tc>
      </w:tr>
      <w:tr>
        <w:tc>
          <w:tcPr/>
          <w:p>
            <w:pPr>
              <w:pStyle w:val="Compact"/>
              <w:jc w:val="left"/>
            </w:pPr>
            <w:r>
              <w:t xml:space="preserve">03</w:t>
            </w:r>
          </w:p>
        </w:tc>
        <w:tc>
          <w:tcPr/>
          <w:p>
            <w:pPr>
              <w:pStyle w:val="Compact"/>
              <w:jc w:val="left"/>
            </w:pPr>
            <w:r>
              <w:t xml:space="preserve">Laboratory access &amp; consumables (Hôpital Pitié-Salpêtrière, France Paris)</w:t>
            </w:r>
          </w:p>
        </w:tc>
        <w:tc>
          <w:tcPr/>
          <w:p>
            <w:pPr>
              <w:pStyle w:val="Compact"/>
              <w:jc w:val="left"/>
            </w:pPr>
            <w:r>
              <w:t xml:space="preserve">Month</w:t>
            </w:r>
          </w:p>
        </w:tc>
        <w:tc>
          <w:tcPr/>
          <w:p>
            <w:pPr>
              <w:pStyle w:val="Compact"/>
              <w:jc w:val="left"/>
            </w:pPr>
            <w:r>
              <w:t xml:space="preserve">4,800.00</w:t>
            </w:r>
          </w:p>
        </w:tc>
        <w:tc>
          <w:tcPr/>
          <w:p>
            <w:pPr>
              <w:pStyle w:val="Compact"/>
              <w:jc w:val="left"/>
            </w:pPr>
            <w:r>
              <w:t xml:space="preserve">12</w:t>
            </w:r>
          </w:p>
        </w:tc>
        <w:tc>
          <w:tcPr/>
          <w:p>
            <w:pPr>
              <w:pStyle w:val="Compact"/>
              <w:jc w:val="left"/>
            </w:pPr>
            <w:r>
              <w:t xml:space="preserve">57,600.00</w:t>
            </w:r>
          </w:p>
        </w:tc>
      </w:tr>
      <w:tr>
        <w:tc>
          <w:tcPr/>
          <w:p>
            <w:pPr>
              <w:pStyle w:val="Compact"/>
              <w:jc w:val="left"/>
            </w:pPr>
            <w:r>
              <w:t xml:space="preserve">04</w:t>
            </w:r>
          </w:p>
        </w:tc>
        <w:tc>
          <w:tcPr/>
          <w:p>
            <w:pPr>
              <w:pStyle w:val="Compact"/>
              <w:jc w:val="left"/>
            </w:pPr>
            <w:r>
              <w:t xml:space="preserve">Statistical software licences (SAS, R, SPSS) — annual</w:t>
            </w:r>
          </w:p>
        </w:tc>
        <w:tc>
          <w:tcPr/>
          <w:p>
            <w:pPr>
              <w:pStyle w:val="Compact"/>
              <w:jc w:val="left"/>
            </w:pPr>
            <w:r>
              <w:t xml:space="preserve">Year</w:t>
            </w:r>
          </w:p>
        </w:tc>
        <w:tc>
          <w:tcPr/>
          <w:p>
            <w:pPr>
              <w:pStyle w:val="Compact"/>
              <w:jc w:val="left"/>
            </w:pPr>
            <w:r>
              <w:t xml:space="preserve">6,500.00</w:t>
            </w:r>
          </w:p>
        </w:tc>
        <w:tc>
          <w:tcPr/>
          <w:p>
            <w:pPr>
              <w:pStyle w:val="Compact"/>
              <w:jc w:val="left"/>
            </w:pPr>
            <w:r>
              <w:t xml:space="preserve">1</w:t>
            </w:r>
          </w:p>
        </w:tc>
        <w:tc>
          <w:tcPr/>
          <w:p>
            <w:pPr>
              <w:pStyle w:val="Compact"/>
              <w:jc w:val="left"/>
            </w:pPr>
            <w:r>
              <w:t xml:space="preserve">6,500.00</w:t>
            </w:r>
          </w:p>
        </w:tc>
      </w:tr>
      <w:tr>
        <w:tc>
          <w:tcPr/>
          <w:p>
            <w:pPr>
              <w:pStyle w:val="Compact"/>
              <w:jc w:val="left"/>
            </w:pPr>
            <w:r>
              <w:t xml:space="preserve">05</w:t>
            </w:r>
          </w:p>
        </w:tc>
        <w:tc>
          <w:tcPr/>
          <w:p>
            <w:pPr>
              <w:pStyle w:val="Compact"/>
              <w:jc w:val="left"/>
            </w:pPr>
            <w:r>
              <w:t xml:space="preserve">Conference attendance &amp; travel (3 events, France Paris &amp; international)</w:t>
            </w:r>
          </w:p>
        </w:tc>
        <w:tc>
          <w:tcPr/>
          <w:p>
            <w:pPr>
              <w:pStyle w:val="Compact"/>
              <w:jc w:val="left"/>
            </w:pPr>
            <w:r>
              <w:t xml:space="preserve">Event</w:t>
            </w:r>
          </w:p>
        </w:tc>
        <w:tc>
          <w:tcPr/>
          <w:p>
            <w:pPr>
              <w:pStyle w:val="Compact"/>
              <w:jc w:val="left"/>
            </w:pPr>
            <w:r>
              <w:t xml:space="preserve">3,800.00</w:t>
            </w:r>
          </w:p>
        </w:tc>
        <w:tc>
          <w:tcPr/>
          <w:p>
            <w:pPr>
              <w:pStyle w:val="Compact"/>
              <w:jc w:val="left"/>
            </w:pPr>
            <w:r>
              <w:t xml:space="preserve">3</w:t>
            </w:r>
          </w:p>
        </w:tc>
        <w:tc>
          <w:tcPr/>
          <w:p>
            <w:pPr>
              <w:pStyle w:val="Compact"/>
              <w:jc w:val="left"/>
            </w:pPr>
            <w:r>
              <w:t xml:space="preserve">11,400.00</w:t>
            </w:r>
          </w:p>
        </w:tc>
      </w:tr>
      <w:tr>
        <w:tc>
          <w:tcPr/>
          <w:p>
            <w:pPr>
              <w:pStyle w:val="Compact"/>
              <w:jc w:val="left"/>
            </w:pPr>
            <w:r>
              <w:t xml:space="preserve">06</w:t>
            </w:r>
          </w:p>
        </w:tc>
        <w:tc>
          <w:tcPr/>
          <w:p>
            <w:pPr>
              <w:pStyle w:val="Compact"/>
              <w:jc w:val="left"/>
            </w:pPr>
            <w:r>
              <w:t xml:space="preserve">ANSM / EMA regulatory filing support &amp; documentation</w:t>
            </w:r>
          </w:p>
        </w:tc>
        <w:tc>
          <w:tcPr/>
          <w:p>
            <w:pPr>
              <w:pStyle w:val="Compact"/>
              <w:jc w:val="left"/>
            </w:pPr>
            <w:r>
              <w:t xml:space="preserve">Submission</w:t>
            </w:r>
          </w:p>
        </w:tc>
        <w:tc>
          <w:tcPr/>
          <w:p>
            <w:pPr>
              <w:pStyle w:val="Compact"/>
              <w:jc w:val="left"/>
            </w:pPr>
            <w:r>
              <w:t xml:space="preserve">5,200.00</w:t>
            </w:r>
          </w:p>
        </w:tc>
        <w:tc>
          <w:tcPr/>
          <w:p>
            <w:pPr>
              <w:pStyle w:val="Compact"/>
              <w:jc w:val="left"/>
            </w:pPr>
            <w:r>
              <w:t xml:space="preserve">4</w:t>
            </w:r>
          </w:p>
        </w:tc>
        <w:tc>
          <w:tcPr/>
          <w:p>
            <w:pPr>
              <w:pStyle w:val="Compact"/>
              <w:jc w:val="left"/>
            </w:pPr>
            <w:r>
              <w:t xml:space="preserve">20,800.00</w:t>
            </w:r>
          </w:p>
        </w:tc>
      </w:tr>
      <w:tr>
        <w:tc>
          <w:tcPr/>
          <w:p>
            <w:pPr>
              <w:pStyle w:val="Compact"/>
              <w:jc w:val="left"/>
            </w:pPr>
            <w:r>
              <w:t xml:space="preserve">07</w:t>
            </w:r>
          </w:p>
        </w:tc>
        <w:tc>
          <w:tcPr/>
          <w:p>
            <w:pPr>
              <w:pStyle w:val="Compact"/>
              <w:jc w:val="left"/>
            </w:pPr>
            <w:r>
              <w:t xml:space="preserve">Doctoral mentorship &amp; academic collaboration (Université Paris Cité)</w:t>
            </w:r>
          </w:p>
        </w:tc>
        <w:tc>
          <w:tcPr/>
          <w:p>
            <w:pPr>
              <w:pStyle w:val="Compact"/>
              <w:jc w:val="left"/>
            </w:pPr>
            <w:r>
              <w:t xml:space="preserve">Month</w:t>
            </w:r>
          </w:p>
        </w:tc>
        <w:tc>
          <w:tcPr/>
          <w:p>
            <w:pPr>
              <w:pStyle w:val="Compact"/>
              <w:jc w:val="left"/>
            </w:pPr>
            <w:r>
              <w:t xml:space="preserve">1,500.00</w:t>
            </w:r>
          </w:p>
        </w:tc>
        <w:tc>
          <w:tcPr/>
          <w:p>
            <w:pPr>
              <w:pStyle w:val="Compact"/>
              <w:jc w:val="left"/>
            </w:pPr>
            <w:r>
              <w:t xml:space="preserve">12</w:t>
            </w:r>
          </w:p>
        </w:tc>
        <w:tc>
          <w:tcPr/>
          <w:p>
            <w:pPr>
              <w:pStyle w:val="Compact"/>
              <w:jc w:val="left"/>
            </w:pPr>
            <w:r>
              <w:t xml:space="preserve">18,000.00</w:t>
            </w:r>
          </w:p>
        </w:tc>
      </w:tr>
      <w:tr>
        <w:tc>
          <w:tcPr/>
          <w:p>
            <w:pPr>
              <w:pStyle w:val="Compact"/>
              <w:jc w:val="left"/>
            </w:pPr>
            <w:r>
              <w:t xml:space="preserve">08</w:t>
            </w:r>
          </w:p>
        </w:tc>
        <w:tc>
          <w:tcPr/>
          <w:p>
            <w:pPr>
              <w:pStyle w:val="Compact"/>
              <w:jc w:val="left"/>
            </w:pPr>
            <w:r>
              <w:t xml:space="preserve">Project management, reporting &amp; administrative overhead</w:t>
            </w:r>
          </w:p>
        </w:tc>
        <w:tc>
          <w:tcPr/>
          <w:p>
            <w:pPr>
              <w:pStyle w:val="Compact"/>
              <w:jc w:val="left"/>
            </w:pPr>
            <w:r>
              <w:t xml:space="preserve">Month</w:t>
            </w:r>
          </w:p>
        </w:tc>
        <w:tc>
          <w:tcPr/>
          <w:p>
            <w:pPr>
              <w:pStyle w:val="Compact"/>
              <w:jc w:val="left"/>
            </w:pPr>
            <w:r>
              <w:t xml:space="preserve">2,100.00</w:t>
            </w:r>
          </w:p>
        </w:tc>
        <w:tc>
          <w:tcPr/>
          <w:p>
            <w:pPr>
              <w:pStyle w:val="Compact"/>
              <w:jc w:val="left"/>
            </w:pPr>
            <w:r>
              <w:t xml:space="preserve">12</w:t>
            </w:r>
          </w:p>
        </w:tc>
        <w:tc>
          <w:tcPr/>
          <w:p>
            <w:pPr>
              <w:pStyle w:val="Compact"/>
              <w:jc w:val="left"/>
            </w:pPr>
            <w:r>
              <w:t xml:space="preserve">25,200.00</w:t>
            </w:r>
          </w:p>
        </w:tc>
      </w:tr>
      <w:tr>
        <w:tc>
          <w:tcPr>
            <w:gridSpan w:val="5"/>
          </w:tcPr>
          <w:p>
            <w:pPr>
              <w:pStyle w:val="Compact"/>
              <w:jc w:val="left"/>
            </w:pPr>
            <w:r>
              <w:t xml:space="preserve">Subtotal (excl. TVA)</w:t>
            </w:r>
          </w:p>
        </w:tc>
        <w:tc>
          <w:tcPr/>
          <w:p>
            <w:pPr>
              <w:pStyle w:val="Compact"/>
              <w:jc w:val="left"/>
            </w:pPr>
            <w:r>
              <w:t xml:space="preserve">327,900.00</w:t>
            </w:r>
          </w:p>
        </w:tc>
      </w:tr>
      <w:tr>
        <w:tc>
          <w:tcPr>
            <w:gridSpan w:val="5"/>
          </w:tcPr>
          <w:p>
            <w:pPr>
              <w:pStyle w:val="Compact"/>
              <w:jc w:val="left"/>
            </w:pPr>
            <w:r>
              <w:t xml:space="preserve">French VAT (TVA 20%)</w:t>
            </w:r>
          </w:p>
        </w:tc>
        <w:tc>
          <w:tcPr/>
          <w:p>
            <w:pPr>
              <w:pStyle w:val="Compact"/>
              <w:jc w:val="left"/>
            </w:pPr>
            <w:r>
              <w:t xml:space="preserve">65,580.00</w:t>
            </w:r>
          </w:p>
        </w:tc>
      </w:tr>
      <w:tr>
        <w:tc>
          <w:tcPr>
            <w:gridSpan w:val="5"/>
          </w:tcPr>
          <w:p>
            <w:pPr>
              <w:pStyle w:val="Compact"/>
              <w:jc w:val="left"/>
            </w:pPr>
            <w:r>
              <w:t xml:space="preserve">TOTAL AMOUNT DUE (incl. TVA)</w:t>
            </w:r>
          </w:p>
        </w:tc>
        <w:tc>
          <w:tcPr/>
          <w:p>
            <w:pPr>
              <w:pStyle w:val="Compact"/>
              <w:jc w:val="left"/>
            </w:pPr>
            <w:r>
              <w:t xml:space="preserve">393,480.00</w:t>
            </w:r>
          </w:p>
        </w:tc>
      </w:tr>
    </w:tbl>
    <w:bookmarkEnd w:id="23"/>
    <w:bookmarkStart w:id="24" w:name="payment-schedule"/>
    <w:p>
      <w:pPr>
        <w:pStyle w:val="Heading2"/>
      </w:pPr>
      <w:r>
        <w:t xml:space="preserve">4. Payment Schedule</w:t>
      </w:r>
    </w:p>
    <w:p>
      <w:pPr>
        <w:pStyle w:val="FirstParagraph"/>
      </w:pPr>
      <w:r>
        <w:t xml:space="preserve">Payment for this Quotation Estimate shall be made in quarterly instalments, due within thirty (30) calendar days of invoice issuance. The schedule is as follows:</w:t>
      </w:r>
    </w:p>
    <w:p>
      <w:pPr>
        <w:numPr>
          <w:ilvl w:val="0"/>
          <w:numId w:val="1002"/>
        </w:numPr>
        <w:pStyle w:val="Compact"/>
      </w:pPr>
      <w:r>
        <w:rPr>
          <w:bCs/>
          <w:b/>
        </w:rPr>
        <w:t xml:space="preserve">Q1 (July – September 2025):</w:t>
      </w:r>
      <w:r>
        <w:t xml:space="preserve"> </w:t>
      </w:r>
      <w:r>
        <w:t xml:space="preserve">EUR 98,370.00 (including applicable TVA)</w:t>
      </w:r>
    </w:p>
    <w:p>
      <w:pPr>
        <w:numPr>
          <w:ilvl w:val="0"/>
          <w:numId w:val="1002"/>
        </w:numPr>
        <w:pStyle w:val="Compact"/>
      </w:pPr>
      <w:r>
        <w:rPr>
          <w:bCs/>
          <w:b/>
        </w:rPr>
        <w:t xml:space="preserve">Q2 (October – December 2025):</w:t>
      </w:r>
      <w:r>
        <w:t xml:space="preserve"> </w:t>
      </w:r>
      <w:r>
        <w:t xml:space="preserve">EUR 98,370.00</w:t>
      </w:r>
    </w:p>
    <w:p>
      <w:pPr>
        <w:numPr>
          <w:ilvl w:val="0"/>
          <w:numId w:val="1002"/>
        </w:numPr>
        <w:pStyle w:val="Compact"/>
      </w:pPr>
      <w:r>
        <w:rPr>
          <w:bCs/>
          <w:b/>
        </w:rPr>
        <w:t xml:space="preserve">Q3 (January – March 2026):</w:t>
      </w:r>
      <w:r>
        <w:t xml:space="preserve"> </w:t>
      </w:r>
      <w:r>
        <w:t xml:space="preserve">EUR 98,370.00</w:t>
      </w:r>
    </w:p>
    <w:p>
      <w:pPr>
        <w:numPr>
          <w:ilvl w:val="0"/>
          <w:numId w:val="1002"/>
        </w:numPr>
        <w:pStyle w:val="Compact"/>
      </w:pPr>
      <w:r>
        <w:rPr>
          <w:bCs/>
          <w:b/>
        </w:rPr>
        <w:t xml:space="preserve">Q4 (April – June 2026):</w:t>
      </w:r>
      <w:r>
        <w:t xml:space="preserve"> </w:t>
      </w:r>
      <w:r>
        <w:t xml:space="preserve">EUR 98,370.00</w:t>
      </w:r>
    </w:p>
    <w:p>
      <w:pPr>
        <w:pStyle w:val="FirstParagraph"/>
      </w:pPr>
      <w:r>
        <w:t xml:space="preserve">All payments shall be transferred via SEPA bank transfer to the account of Paris Biomedical Research Group, BNP Paribas, France Paris, IBAN: FR76 3000 4000 0312 3456 7890 123. Late payments shall incur interest at the rate prescribed by French commercial law (Code de commerce, Article L441-10).</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 Quotation Estimate is valid for thirty (30) days from the date of issue. Beyond this period, all rates and availability of the Medical Researcher are subject to reconfirmation in writing.</w:t>
      </w:r>
    </w:p>
    <w:p>
      <w:pPr>
        <w:pStyle w:val="BodyText"/>
      </w:pPr>
      <w:r>
        <w:rPr>
          <w:bCs/>
          <w:b/>
        </w:rPr>
        <w:t xml:space="preserve">5.2</w:t>
      </w:r>
      <w:r>
        <w:t xml:space="preserve"> </w:t>
      </w:r>
      <w:r>
        <w:t xml:space="preserve">The Medical Researcher shall comply with all applicable French and European data protection regulations, including the GDPR and the French Loi Informatique et Libertés, particularly regarding patient data handled in France Paris clinical settings.</w:t>
      </w:r>
    </w:p>
    <w:p>
      <w:pPr>
        <w:pStyle w:val="BodyText"/>
      </w:pPr>
      <w:r>
        <w:rPr>
          <w:bCs/>
          <w:b/>
        </w:rPr>
        <w:t xml:space="preserve">5.3</w:t>
      </w:r>
      <w:r>
        <w:t xml:space="preserve"> </w:t>
      </w:r>
      <w:r>
        <w:t xml:space="preserve">Intellectual property generated during the course of this engagement shall be jointly owned by PBRG and IRCA, as stipulated in the separate Intellectual Property Agreement to be executed prior to commencement.</w:t>
      </w:r>
    </w:p>
    <w:p>
      <w:pPr>
        <w:pStyle w:val="BodyText"/>
      </w:pPr>
      <w:r>
        <w:rPr>
          <w:bCs/>
          <w:b/>
        </w:rPr>
        <w:t xml:space="preserve">5.4</w:t>
      </w:r>
      <w:r>
        <w:t xml:space="preserve"> </w:t>
      </w:r>
      <w:r>
        <w:t xml:space="preserve">Either party may terminate this engagement with sixty (60) days written notice. In the event of early termination, the client shall be liable for all costs incurred up to the termination date, as detailed in this Quotation Estimate.</w:t>
      </w:r>
    </w:p>
    <w:p>
      <w:pPr>
        <w:pStyle w:val="BodyText"/>
      </w:pPr>
      <w:r>
        <w:rPr>
          <w:bCs/>
          <w:b/>
        </w:rPr>
        <w:t xml:space="preserve">5.5</w:t>
      </w:r>
      <w:r>
        <w:t xml:space="preserve"> </w:t>
      </w:r>
      <w:r>
        <w:t xml:space="preserve">The Medical Researcher shall maintain professional medical liability insurance with a minimum coverage of EUR 5,000,000, valid throughout the France Paris region and all EU member states where trial sites are located.</w:t>
      </w:r>
    </w:p>
    <w:p>
      <w:pPr>
        <w:pStyle w:val="BodyText"/>
      </w:pPr>
      <w:r>
        <w:rPr>
          <w:bCs/>
          <w:b/>
        </w:rPr>
        <w:t xml:space="preserve">5.6</w:t>
      </w:r>
      <w:r>
        <w:t xml:space="preserve"> </w:t>
      </w:r>
      <w:r>
        <w:t xml:space="preserve">All disputes arising from this Quotation Estimate shall be resolved by the competent commercial courts of Paris, France, in accordance with French law.</w:t>
      </w:r>
    </w:p>
    <w:bookmarkEnd w:id="25"/>
    <w:bookmarkStart w:id="26" w:name="acceptance-and-authorisation"/>
    <w:p>
      <w:pPr>
        <w:pStyle w:val="Heading2"/>
      </w:pPr>
      <w:r>
        <w:t xml:space="preserve">6. Acceptance and Authorisation</w:t>
      </w:r>
    </w:p>
    <w:p>
      <w:pPr>
        <w:pStyle w:val="FirstParagraph"/>
      </w:pPr>
      <w:r>
        <w:t xml:space="preserve">By signing below, both parties acknowledge and accept the terms, conditions, and financial obligations set forth in this Quotation Estimate for the engagement of the Medical Researcher in France Paris. This document constitutes a binding commercial proposal upon countersignature by both parties.</w:t>
      </w:r>
    </w:p>
    <w:p>
      <w:pPr>
        <w:pStyle w:val="BodyText"/>
      </w:pPr>
      <w:r>
        <w:rPr>
          <w:bCs/>
          <w:b/>
        </w:rPr>
        <w:t xml:space="preserve">For Paris Biomedical Research Group (PBRG)</w:t>
      </w:r>
    </w:p>
    <w:p>
      <w:pPr>
        <w:pStyle w:val="BodyText"/>
      </w:pPr>
      <w:r>
        <w:t xml:space="preserve">Dr. Élodie Marchand — Lead Consultant</w:t>
      </w:r>
    </w:p>
    <w:p>
      <w:pPr>
        <w:pStyle w:val="BodyText"/>
      </w:pPr>
      <w:r>
        <w:t xml:space="preserve">Signature &amp; Date</w:t>
      </w:r>
    </w:p>
    <w:p>
      <w:pPr>
        <w:pStyle w:val="BodyText"/>
      </w:pPr>
      <w:r>
        <w:rPr>
          <w:bCs/>
          <w:b/>
        </w:rPr>
        <w:t xml:space="preserve">For Institut de Recherche Clinique Avancée (IRCA)</w:t>
      </w:r>
    </w:p>
    <w:p>
      <w:pPr>
        <w:pStyle w:val="BodyText"/>
      </w:pPr>
      <w:r>
        <w:t xml:space="preserve">Prof. Jean-Luc Beaumont — Director</w:t>
      </w:r>
    </w:p>
    <w:p>
      <w:pPr>
        <w:pStyle w:val="BodyText"/>
      </w:pPr>
      <w:r>
        <w:t xml:space="preserve">Signature &amp; Date</w:t>
      </w:r>
    </w:p>
    <w:p>
      <w:pPr>
        <w:pStyle w:val="BodyText"/>
      </w:pPr>
      <w:r>
        <w:t xml:space="preserve">Paris Biomedical Research Group (PBRG) | 14 Rue de la Convention, 75116 Paris, France | SIRET: 842 567 891 00023 | RCS Paris</w:t>
      </w:r>
    </w:p>
    <w:p>
      <w:pPr>
        <w:pStyle w:val="BodyText"/>
      </w:pPr>
      <w:r>
        <w:t xml:space="preserve">This Quotation Estimate is a confidential commercial document. Unauthorised reproduction or distribution is prohibited under French intellectual property law.</w:t>
      </w:r>
    </w:p>
    <w:p>
      <w:pPr>
        <w:pStyle w:val="BodyText"/>
      </w:pPr>
      <w:r>
        <w:t xml:space="preserve">Document generated: 15 June 2025 | Version 1.0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Medical Researcher Services - France Paris</dc:title>
  <dc:creator/>
  <dc:language>en</dc:language>
  <cp:keywords/>
  <dcterms:created xsi:type="dcterms:W3CDTF">2026-10-10T01:59:38Z</dcterms:created>
  <dcterms:modified xsi:type="dcterms:W3CDTF">2026-10-10T01:59:38Z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