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Engagement of a Medical Researcher</w:t>
      </w:r>
    </w:p>
    <w:p>
      <w:pPr>
        <w:pStyle w:val="BodyText"/>
      </w:pPr>
      <w:r>
        <w:t xml:space="preserve">Location: Germany Berlin</w:t>
      </w:r>
    </w:p>
    <w:p>
      <w:pPr>
        <w:pStyle w:val="BodyText"/>
      </w:pPr>
      <w:r>
        <w:t xml:space="preserve">Ref: QE-MR-BER-2025-0417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17 June 2025</w:t>
            </w:r>
          </w:p>
        </w:tc>
        <w:tc>
          <w:tcPr/>
          <w:p>
            <w:pPr>
              <w:pStyle w:val="Compact"/>
              <w:jc w:val="left"/>
            </w:pPr>
            <w:r>
              <w:t xml:space="preserve">Valid Until</w:t>
            </w:r>
          </w:p>
        </w:tc>
        <w:tc>
          <w:tcPr/>
          <w:p>
            <w:pPr>
              <w:pStyle w:val="Compact"/>
              <w:jc w:val="left"/>
            </w:pPr>
            <w:r>
              <w:t xml:space="preserve">17 July 2025 (30 days)</w:t>
            </w:r>
          </w:p>
        </w:tc>
      </w:tr>
      <w:tr>
        <w:tc>
          <w:tcPr/>
          <w:p>
            <w:pPr>
              <w:pStyle w:val="Compact"/>
              <w:jc w:val="left"/>
            </w:pPr>
            <w:r>
              <w:t xml:space="preserve">Prepared By</w:t>
            </w:r>
          </w:p>
        </w:tc>
        <w:tc>
          <w:tcPr/>
          <w:p>
            <w:pPr>
              <w:pStyle w:val="Compact"/>
              <w:jc w:val="left"/>
            </w:pPr>
            <w:r>
              <w:t xml:space="preserve">Dr. Katharina Vogel, Head of Research Procurement</w:t>
            </w:r>
          </w:p>
        </w:tc>
        <w:tc>
          <w:tcPr/>
          <w:p>
            <w:pPr>
              <w:pStyle w:val="Compact"/>
              <w:jc w:val="left"/>
            </w:pPr>
            <w:r>
              <w:t xml:space="preserve">Client</w:t>
            </w:r>
          </w:p>
        </w:tc>
        <w:tc>
          <w:tcPr/>
          <w:p>
            <w:pPr>
              <w:pStyle w:val="Compact"/>
              <w:jc w:val="left"/>
            </w:pPr>
            <w:r>
              <w:t xml:space="preserve">Charité Medical Research Institute, Berlin</w:t>
            </w:r>
          </w:p>
        </w:tc>
      </w:tr>
      <w:tr>
        <w:tc>
          <w:tcPr/>
          <w:p>
            <w:pPr>
              <w:pStyle w:val="Compact"/>
              <w:jc w:val="left"/>
            </w:pPr>
            <w:r>
              <w:t xml:space="preserve">Project Title</w:t>
            </w:r>
          </w:p>
        </w:tc>
        <w:tc>
          <w:tcPr>
            <w:gridSpan w:val="3"/>
          </w:tcPr>
          <w:p>
            <w:pPr>
              <w:pStyle w:val="Compact"/>
              <w:jc w:val="left"/>
            </w:pPr>
            <w:r>
              <w:t xml:space="preserve">Engagement of a Senior Medical Researcher for Oncology and Genomics Studies – Germany Berlin</w:t>
            </w:r>
          </w:p>
        </w:tc>
      </w:tr>
      <w:tr>
        <w:tc>
          <w:tcPr/>
          <w:p>
            <w:pPr>
              <w:pStyle w:val="Compact"/>
              <w:jc w:val="left"/>
            </w:pPr>
            <w:r>
              <w:t xml:space="preserve">Contract Duration</w:t>
            </w:r>
          </w:p>
        </w:tc>
        <w:tc>
          <w:tcPr/>
          <w:p>
            <w:pPr>
              <w:pStyle w:val="Compact"/>
              <w:jc w:val="left"/>
            </w:pPr>
            <w:r>
              <w:t xml:space="preserve">24 months (with option to extend by 12 months)</w:t>
            </w:r>
          </w:p>
        </w:tc>
        <w:tc>
          <w:tcPr/>
          <w:p>
            <w:pPr>
              <w:pStyle w:val="Compact"/>
              <w:jc w:val="left"/>
            </w:pPr>
            <w:r>
              <w:t xml:space="preserve">Currency</w:t>
            </w:r>
          </w:p>
        </w:tc>
        <w:tc>
          <w:tcPr/>
          <w:p>
            <w:pPr>
              <w:pStyle w:val="Compact"/>
              <w:jc w:val="left"/>
            </w:pPr>
            <w:r>
              <w:t xml:space="preserve">Euro (EUR)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the Charité Medical Research Institute, located in Germany Berlin, for the professional engagement of a qualified</w:t>
      </w:r>
      <w:r>
        <w:t xml:space="preserve"> </w:t>
      </w:r>
      <w:r>
        <w:t xml:space="preserve">Medical Researcher</w:t>
      </w:r>
      <w:r>
        <w:t xml:space="preserve"> </w:t>
      </w:r>
      <w:r>
        <w:t xml:space="preserve">to lead and coordinate advanced oncology and genomics research programmes. This document outlines the full scope of services, associated costs, payment structure, and contractual terms governing the proposed engagement. All figures presented herein are estimates based on current market rates applicable to the Germany Berlin region and are subject to the terms and conditions stated below.</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 Quotation Estimate shall perform the following duties and responsibilities within the Germany Berlin research facility:</w:t>
      </w:r>
    </w:p>
    <w:p>
      <w:pPr>
        <w:numPr>
          <w:ilvl w:val="0"/>
          <w:numId w:val="1001"/>
        </w:numPr>
        <w:pStyle w:val="Compact"/>
      </w:pPr>
      <w:r>
        <w:t xml:space="preserve">Design, develop, and oversee multi-centre clinical research protocols in the fields of oncology, molecular genetics, and immunotherapy.</w:t>
      </w:r>
    </w:p>
    <w:p>
      <w:pPr>
        <w:numPr>
          <w:ilvl w:val="0"/>
          <w:numId w:val="1001"/>
        </w:numPr>
        <w:pStyle w:val="Compact"/>
      </w:pPr>
      <w:r>
        <w:t xml:space="preserve">Supervise a team of up to twelve (12) junior researchers, laboratory technicians, and data analysts based in the Germany Berlin campus.</w:t>
      </w:r>
    </w:p>
    <w:p>
      <w:pPr>
        <w:numPr>
          <w:ilvl w:val="0"/>
          <w:numId w:val="1001"/>
        </w:numPr>
        <w:pStyle w:val="Compact"/>
      </w:pPr>
      <w:r>
        <w:t xml:space="preserve">Conduct peer-reviewed literature analyses and produce original research publications in internationally recognised medical journals.</w:t>
      </w:r>
    </w:p>
    <w:p>
      <w:pPr>
        <w:numPr>
          <w:ilvl w:val="0"/>
          <w:numId w:val="1001"/>
        </w:numPr>
        <w:pStyle w:val="Compact"/>
      </w:pPr>
      <w:r>
        <w:t xml:space="preserve">Manage ethical compliance in accordance with the German Federal Institute for Drugs and Medical Devices (BfArM) regulations and the European Clinical Trials Regulation (EU) No 536/2014.</w:t>
      </w:r>
    </w:p>
    <w:p>
      <w:pPr>
        <w:numPr>
          <w:ilvl w:val="0"/>
          <w:numId w:val="1001"/>
        </w:numPr>
        <w:pStyle w:val="Compact"/>
      </w:pPr>
      <w:r>
        <w:t xml:space="preserve">Coordinate with partner institutions across Germany Berlin and the broader European research network to facilitate data sharing and collaborative studies.</w:t>
      </w:r>
    </w:p>
    <w:p>
      <w:pPr>
        <w:numPr>
          <w:ilvl w:val="0"/>
          <w:numId w:val="1001"/>
        </w:numPr>
        <w:pStyle w:val="Compact"/>
      </w:pPr>
      <w:r>
        <w:t xml:space="preserve">Prepare and submit research grant applications to the German Research Foundation (DFG), the European Research Council (ERC), and other relevant funding bodies.</w:t>
      </w:r>
    </w:p>
    <w:p>
      <w:pPr>
        <w:numPr>
          <w:ilvl w:val="0"/>
          <w:numId w:val="1001"/>
        </w:numPr>
        <w:pStyle w:val="Compact"/>
      </w:pPr>
      <w:r>
        <w:t xml:space="preserve">Deliver quarterly progress reports to the institute's scientific board and present findings at national and international medical conferences.</w:t>
      </w:r>
    </w:p>
    <w:p>
      <w:pPr>
        <w:numPr>
          <w:ilvl w:val="0"/>
          <w:numId w:val="1001"/>
        </w:numPr>
        <w:pStyle w:val="Compact"/>
      </w:pPr>
      <w:r>
        <w:t xml:space="preserve">Maintain and update the laboratory's Standard Operating Procedures (SOPs) to ensure full compliance with ISO 15189 and German pharmaceutical law (Arzneimittelgesetz).</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Base annual salary – Senior Medical Researcher (Germany Berlin market rate)</w:t>
            </w:r>
          </w:p>
        </w:tc>
        <w:tc>
          <w:tcPr/>
          <w:p>
            <w:pPr>
              <w:pStyle w:val="Compact"/>
              <w:jc w:val="left"/>
            </w:pPr>
            <w:r>
              <w:t xml:space="preserve">24 months</w:t>
            </w:r>
          </w:p>
        </w:tc>
        <w:tc>
          <w:tcPr/>
          <w:p>
            <w:pPr>
              <w:pStyle w:val="Compact"/>
              <w:jc w:val="left"/>
            </w:pPr>
            <w:r>
              <w:t xml:space="preserve">184,000.00</w:t>
            </w:r>
          </w:p>
        </w:tc>
      </w:tr>
      <w:tr>
        <w:tc>
          <w:tcPr/>
          <w:p>
            <w:pPr>
              <w:pStyle w:val="Compact"/>
              <w:jc w:val="left"/>
            </w:pPr>
            <w:r>
              <w:t xml:space="preserve">3.2</w:t>
            </w:r>
          </w:p>
        </w:tc>
        <w:tc>
          <w:tcPr/>
          <w:p>
            <w:pPr>
              <w:pStyle w:val="Compact"/>
              <w:jc w:val="left"/>
            </w:pPr>
            <w:r>
              <w:t xml:space="preserve">Research leadership and project management allowance</w:t>
            </w:r>
          </w:p>
        </w:tc>
        <w:tc>
          <w:tcPr/>
          <w:p>
            <w:pPr>
              <w:pStyle w:val="Compact"/>
              <w:jc w:val="left"/>
            </w:pPr>
            <w:r>
              <w:t xml:space="preserve">24 months</w:t>
            </w:r>
          </w:p>
        </w:tc>
        <w:tc>
          <w:tcPr/>
          <w:p>
            <w:pPr>
              <w:pStyle w:val="Compact"/>
              <w:jc w:val="left"/>
            </w:pPr>
            <w:r>
              <w:t xml:space="preserve">28,800.00</w:t>
            </w:r>
          </w:p>
        </w:tc>
      </w:tr>
      <w:tr>
        <w:tc>
          <w:tcPr/>
          <w:p>
            <w:pPr>
              <w:pStyle w:val="Compact"/>
              <w:jc w:val="left"/>
            </w:pPr>
            <w:r>
              <w:t xml:space="preserve">3.3</w:t>
            </w:r>
          </w:p>
        </w:tc>
        <w:tc>
          <w:tcPr/>
          <w:p>
            <w:pPr>
              <w:pStyle w:val="Compact"/>
              <w:jc w:val="left"/>
            </w:pPr>
            <w:r>
              <w:t xml:space="preserve">Specialised laboratory equipment and consumables (genomics sequencing, cell culture)</w:t>
            </w:r>
          </w:p>
        </w:tc>
        <w:tc>
          <w:tcPr/>
          <w:p>
            <w:pPr>
              <w:pStyle w:val="Compact"/>
              <w:jc w:val="left"/>
            </w:pPr>
            <w:r>
              <w:t xml:space="preserve">One-time + annual</w:t>
            </w:r>
          </w:p>
        </w:tc>
        <w:tc>
          <w:tcPr/>
          <w:p>
            <w:pPr>
              <w:pStyle w:val="Compact"/>
              <w:jc w:val="left"/>
            </w:pPr>
            <w:r>
              <w:t xml:space="preserve">96,500.00</w:t>
            </w:r>
          </w:p>
        </w:tc>
      </w:tr>
      <w:tr>
        <w:tc>
          <w:tcPr/>
          <w:p>
            <w:pPr>
              <w:pStyle w:val="Compact"/>
              <w:jc w:val="left"/>
            </w:pPr>
            <w:r>
              <w:t xml:space="preserve">3.4</w:t>
            </w:r>
          </w:p>
        </w:tc>
        <w:tc>
          <w:tcPr/>
          <w:p>
            <w:pPr>
              <w:pStyle w:val="Compact"/>
              <w:jc w:val="left"/>
            </w:pPr>
            <w:r>
              <w:t xml:space="preserve">Publication and conference travel budget (Germany Berlin to international venues)</w:t>
            </w:r>
          </w:p>
        </w:tc>
        <w:tc>
          <w:tcPr/>
          <w:p>
            <w:pPr>
              <w:pStyle w:val="Compact"/>
              <w:jc w:val="left"/>
            </w:pPr>
            <w:r>
              <w:t xml:space="preserve">24 months</w:t>
            </w:r>
          </w:p>
        </w:tc>
        <w:tc>
          <w:tcPr/>
          <w:p>
            <w:pPr>
              <w:pStyle w:val="Compact"/>
              <w:jc w:val="left"/>
            </w:pPr>
            <w:r>
              <w:t xml:space="preserve">18,000.00</w:t>
            </w:r>
          </w:p>
        </w:tc>
      </w:tr>
      <w:tr>
        <w:tc>
          <w:tcPr/>
          <w:p>
            <w:pPr>
              <w:pStyle w:val="Compact"/>
              <w:jc w:val="left"/>
            </w:pPr>
            <w:r>
              <w:t xml:space="preserve">3.5</w:t>
            </w:r>
          </w:p>
        </w:tc>
        <w:tc>
          <w:tcPr/>
          <w:p>
            <w:pPr>
              <w:pStyle w:val="Compact"/>
              <w:jc w:val="left"/>
            </w:pPr>
            <w:r>
              <w:t xml:space="preserve">Ethics committee fees and regulatory compliance consultancy (BfArM, local ethics board Berlin)</w:t>
            </w:r>
          </w:p>
        </w:tc>
        <w:tc>
          <w:tcPr/>
          <w:p>
            <w:pPr>
              <w:pStyle w:val="Compact"/>
              <w:jc w:val="left"/>
            </w:pPr>
            <w:r>
              <w:t xml:space="preserve">24 months</w:t>
            </w:r>
          </w:p>
        </w:tc>
        <w:tc>
          <w:tcPr/>
          <w:p>
            <w:pPr>
              <w:pStyle w:val="Compact"/>
              <w:jc w:val="left"/>
            </w:pPr>
            <w:r>
              <w:t xml:space="preserve">12,400.00</w:t>
            </w:r>
          </w:p>
        </w:tc>
      </w:tr>
      <w:tr>
        <w:tc>
          <w:tcPr/>
          <w:p>
            <w:pPr>
              <w:pStyle w:val="Compact"/>
              <w:jc w:val="left"/>
            </w:pPr>
            <w:r>
              <w:t xml:space="preserve">3.6</w:t>
            </w:r>
          </w:p>
        </w:tc>
        <w:tc>
          <w:tcPr/>
          <w:p>
            <w:pPr>
              <w:pStyle w:val="Compact"/>
              <w:jc w:val="left"/>
            </w:pPr>
            <w:r>
              <w:t xml:space="preserve">Recruitment, onboarding, and relocation support for the Medical Researcher to Germany Berlin</w:t>
            </w:r>
          </w:p>
        </w:tc>
        <w:tc>
          <w:tcPr/>
          <w:p>
            <w:pPr>
              <w:pStyle w:val="Compact"/>
              <w:jc w:val="left"/>
            </w:pPr>
            <w:r>
              <w:t xml:space="preserve">One-time</w:t>
            </w:r>
          </w:p>
        </w:tc>
        <w:tc>
          <w:tcPr/>
          <w:p>
            <w:pPr>
              <w:pStyle w:val="Compact"/>
              <w:jc w:val="left"/>
            </w:pPr>
            <w:r>
              <w:t xml:space="preserve">15,000.00</w:t>
            </w:r>
          </w:p>
        </w:tc>
      </w:tr>
      <w:tr>
        <w:tc>
          <w:tcPr/>
          <w:p>
            <w:pPr>
              <w:pStyle w:val="Compact"/>
              <w:jc w:val="left"/>
            </w:pPr>
            <w:r>
              <w:t xml:space="preserve">3.7</w:t>
            </w:r>
          </w:p>
        </w:tc>
        <w:tc>
          <w:tcPr/>
          <w:p>
            <w:pPr>
              <w:pStyle w:val="Compact"/>
              <w:jc w:val="left"/>
            </w:pPr>
            <w:r>
              <w:t xml:space="preserve">Statutory social security contributions (German employer share – pension, health, unemployment, nursing care)</w:t>
            </w:r>
          </w:p>
        </w:tc>
        <w:tc>
          <w:tcPr/>
          <w:p>
            <w:pPr>
              <w:pStyle w:val="Compact"/>
              <w:jc w:val="left"/>
            </w:pPr>
            <w:r>
              <w:t xml:space="preserve">24 months</w:t>
            </w:r>
          </w:p>
        </w:tc>
        <w:tc>
          <w:tcPr/>
          <w:p>
            <w:pPr>
              <w:pStyle w:val="Compact"/>
              <w:jc w:val="left"/>
            </w:pPr>
            <w:r>
              <w:t xml:space="preserve">62,300.00</w:t>
            </w:r>
          </w:p>
        </w:tc>
      </w:tr>
      <w:tr>
        <w:tc>
          <w:tcPr/>
          <w:p>
            <w:pPr>
              <w:pStyle w:val="Compact"/>
              <w:jc w:val="left"/>
            </w:pPr>
            <w:r>
              <w:t xml:space="preserve">3.8</w:t>
            </w:r>
          </w:p>
        </w:tc>
        <w:tc>
          <w:tcPr/>
          <w:p>
            <w:pPr>
              <w:pStyle w:val="Compact"/>
              <w:jc w:val="left"/>
            </w:pPr>
            <w:r>
              <w:t xml:space="preserve">Professional indemnity and liability insurance (Germany Berlin jurisdiction)</w:t>
            </w:r>
          </w:p>
        </w:tc>
        <w:tc>
          <w:tcPr/>
          <w:p>
            <w:pPr>
              <w:pStyle w:val="Compact"/>
              <w:jc w:val="left"/>
            </w:pPr>
            <w:r>
              <w:t xml:space="preserve">24 months</w:t>
            </w:r>
          </w:p>
        </w:tc>
        <w:tc>
          <w:tcPr/>
          <w:p>
            <w:pPr>
              <w:pStyle w:val="Compact"/>
              <w:jc w:val="left"/>
            </w:pPr>
            <w:r>
              <w:t xml:space="preserve">7,200.00</w:t>
            </w:r>
          </w:p>
        </w:tc>
      </w:tr>
      <w:tr>
        <w:tc>
          <w:tcPr/>
          <w:p>
            <w:pPr>
              <w:pStyle w:val="Compact"/>
              <w:jc w:val="left"/>
            </w:pPr>
            <w:r>
              <w:t xml:space="preserve">3.9</w:t>
            </w:r>
          </w:p>
        </w:tc>
        <w:tc>
          <w:tcPr/>
          <w:p>
            <w:pPr>
              <w:pStyle w:val="Compact"/>
              <w:jc w:val="left"/>
            </w:pPr>
            <w:r>
              <w:t xml:space="preserve">Administrative and project coordination overhead (10%)</w:t>
            </w:r>
          </w:p>
        </w:tc>
        <w:tc>
          <w:tcPr/>
          <w:p>
            <w:pPr>
              <w:pStyle w:val="Compact"/>
              <w:jc w:val="left"/>
            </w:pPr>
            <w:r>
              <w:t xml:space="preserve">24 months</w:t>
            </w:r>
          </w:p>
        </w:tc>
        <w:tc>
          <w:tcPr/>
          <w:p>
            <w:pPr>
              <w:pStyle w:val="Compact"/>
              <w:jc w:val="left"/>
            </w:pPr>
            <w:r>
              <w:t xml:space="preserve">42,420.00</w:t>
            </w:r>
          </w:p>
        </w:tc>
      </w:tr>
      <w:tr>
        <w:tc>
          <w:tcPr>
            <w:gridSpan w:val="3"/>
          </w:tcPr>
          <w:p>
            <w:pPr>
              <w:pStyle w:val="Compact"/>
              <w:jc w:val="left"/>
            </w:pPr>
            <w:r>
              <w:t xml:space="preserve">TOTAL ESTIMATED COST (excl. VAT)</w:t>
            </w:r>
          </w:p>
        </w:tc>
        <w:tc>
          <w:tcPr/>
          <w:p>
            <w:pPr>
              <w:pStyle w:val="Compact"/>
              <w:jc w:val="left"/>
            </w:pPr>
            <w:r>
              <w:t xml:space="preserve">466,620.00</w:t>
            </w:r>
          </w:p>
        </w:tc>
      </w:tr>
      <w:tr>
        <w:tc>
          <w:tcPr>
            <w:gridSpan w:val="3"/>
          </w:tcPr>
          <w:p>
            <w:pPr>
              <w:pStyle w:val="Compact"/>
              <w:jc w:val="left"/>
            </w:pPr>
            <w:r>
              <w:t xml:space="preserve">VAT (19% – Germany Berlin standard rate)</w:t>
            </w:r>
          </w:p>
        </w:tc>
        <w:tc>
          <w:tcPr/>
          <w:p>
            <w:pPr>
              <w:pStyle w:val="Compact"/>
              <w:jc w:val="left"/>
            </w:pPr>
            <w:r>
              <w:t xml:space="preserve">88,657.80</w:t>
            </w:r>
          </w:p>
        </w:tc>
      </w:tr>
      <w:tr>
        <w:tc>
          <w:tcPr>
            <w:gridSpan w:val="3"/>
          </w:tcPr>
          <w:p>
            <w:pPr>
              <w:pStyle w:val="Compact"/>
              <w:jc w:val="left"/>
            </w:pPr>
            <w:r>
              <w:t xml:space="preserve">GRAND TOTAL (incl. VAT)</w:t>
            </w:r>
          </w:p>
        </w:tc>
        <w:tc>
          <w:tcPr/>
          <w:p>
            <w:pPr>
              <w:pStyle w:val="Compact"/>
              <w:jc w:val="left"/>
            </w:pPr>
            <w:r>
              <w:t xml:space="preserve">555,277.80</w:t>
            </w:r>
          </w:p>
        </w:tc>
      </w:tr>
    </w:tbl>
    <w:bookmarkEnd w:id="23"/>
    <w:bookmarkStart w:id="24" w:name="payment-schedule"/>
    <w:p>
      <w:pPr>
        <w:pStyle w:val="Heading2"/>
      </w:pPr>
      <w:r>
        <w:t xml:space="preserve">4. Payment Schedule</w:t>
      </w:r>
    </w:p>
    <w:p>
      <w:pPr>
        <w:pStyle w:val="FirstParagraph"/>
      </w:pPr>
      <w:r>
        <w:t xml:space="preserve">Payment for the services described in this Quotation Estimate shall be made in quarterly instalments, invoiced in advance at the beginning of each calendar quarter. The first invoice shall be issued within fourteen (14) calendar days of the formal acceptance of this Quotation Estimate by the client. All payments shall be transferred via SEPA bank transfer to the account designated by the service provider. Late payments shall incur interest at the rate of 8% per annum above the European Central Bank reference rate, in accordance with German commercial law (HGB § 288).</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this period, all costs and terms are subject to revision based on prevailing market conditions in Germany Berlin.</w:t>
      </w:r>
    </w:p>
    <w:p>
      <w:pPr>
        <w:pStyle w:val="BodyText"/>
      </w:pPr>
      <w:r>
        <w:rPr>
          <w:bCs/>
          <w:b/>
        </w:rPr>
        <w:t xml:space="preserve">5.2 Confidentiality:</w:t>
      </w:r>
      <w:r>
        <w:t xml:space="preserve"> </w:t>
      </w:r>
      <w:r>
        <w:t xml:space="preserve">All data, research findings, and proprietary information exchanged during the engagement of the Medical Researcher shall be treated as strictly confidential in accordance with the German Federal Data Protection Act (BDSG) and the EU General Data Protection Regulation (GDPR).</w:t>
      </w:r>
    </w:p>
    <w:p>
      <w:pPr>
        <w:pStyle w:val="BodyText"/>
      </w:pPr>
      <w:r>
        <w:rPr>
          <w:bCs/>
          <w:b/>
        </w:rPr>
        <w:t xml:space="preserve">5.3 Intellectual Property:</w:t>
      </w:r>
      <w:r>
        <w:t xml:space="preserve"> </w:t>
      </w:r>
      <w:r>
        <w:t xml:space="preserve">All intellectual property generated by the Medical Researcher during the course of this engagement shall be jointly owned by the client institute and the service provider, unless otherwise agreed in a separate IP assignment agreement.</w:t>
      </w:r>
    </w:p>
    <w:p>
      <w:pPr>
        <w:pStyle w:val="BodyText"/>
      </w:pPr>
      <w:r>
        <w:rPr>
          <w:bCs/>
          <w:b/>
        </w:rPr>
        <w:t xml:space="preserve">5.4 Termination:</w:t>
      </w:r>
      <w:r>
        <w:t xml:space="preserve"> </w:t>
      </w:r>
      <w:r>
        <w:t xml:space="preserve">Either party may terminate the engagement with a written notice period of ninety (90) days. In the event of early termination, the client shall be liable for all costs incurred up to the effective date of termination, as detailed in this Quotation Estimate.</w:t>
      </w:r>
    </w:p>
    <w:p>
      <w:pPr>
        <w:pStyle w:val="BodyText"/>
      </w:pPr>
      <w:r>
        <w:rPr>
          <w:bCs/>
          <w:b/>
        </w:rPr>
        <w:t xml:space="preserve">5.5 Governing Law:</w:t>
      </w:r>
      <w:r>
        <w:t xml:space="preserve"> </w:t>
      </w:r>
      <w:r>
        <w:t xml:space="preserve">This Quotation Estimate and the resulting contract shall be governed by and interpreted in accordance with the laws of the Federal Republic of Germany. Any disputes shall be subject to the exclusive jurisdiction of the competent courts in Germany Berlin.</w:t>
      </w:r>
    </w:p>
    <w:p>
      <w:pPr>
        <w:pStyle w:val="BodyText"/>
      </w:pPr>
      <w:r>
        <w:rPr>
          <w:bCs/>
          <w:b/>
        </w:rPr>
        <w:t xml:space="preserve">5.6 Force Majeure:</w:t>
      </w:r>
      <w:r>
        <w:t xml:space="preserve"> </w:t>
      </w:r>
      <w:r>
        <w:t xml:space="preserve">Neither party shall be liable for delays or failures in performance resulting from circumstances beyond reasonable control, including but not limited to natural disasters, pandemics, or government-imposed restrictions affecting research operations in Germany Berlin.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agrees to the terms, conditions, and cost estimates outlined herein for the engagement of the Medical Researcher in Germany Berlin. This signature constitutes a binding commitment to proceed with the proposed research engagement.</w:t>
      </w:r>
    </w:p>
    <w:p>
      <w:pPr>
        <w:pStyle w:val="BodyText"/>
      </w:pPr>
      <w:r>
        <w:rPr>
          <w:bCs/>
          <w:b/>
        </w:rPr>
        <w:t xml:space="preserve">For the Client</w:t>
      </w:r>
      <w:r>
        <w:br/>
      </w:r>
      <w:r>
        <w:t xml:space="preserve">Charité Medical Research Institute</w:t>
      </w:r>
      <w:r>
        <w:br/>
      </w:r>
      <w:r>
        <w:t xml:space="preserve">Name / Title / Signature / Date</w:t>
      </w:r>
    </w:p>
    <w:p>
      <w:pPr>
        <w:pStyle w:val="BodyText"/>
      </w:pPr>
      <w:r>
        <w:rPr>
          <w:bCs/>
          <w:b/>
        </w:rPr>
        <w:t xml:space="preserve">For the Service Provider</w:t>
      </w:r>
      <w:r>
        <w:br/>
      </w:r>
      <w:r>
        <w:t xml:space="preserve">Dr. Katharina Vogel</w:t>
      </w:r>
      <w:r>
        <w:br/>
      </w:r>
      <w:r>
        <w:t xml:space="preserve">Head of Research Procurement</w:t>
      </w:r>
      <w:r>
        <w:br/>
      </w:r>
      <w:r>
        <w:t xml:space="preserve">Name / Title / Signature / Date</w:t>
      </w:r>
    </w:p>
    <w:p>
      <w:pPr>
        <w:pStyle w:val="BodyText"/>
      </w:pPr>
      <w:r>
        <w:t xml:space="preserve">Quotation Estimate Ref: QE-MR-BER-2025-0417 | Medical Researcher Engagement | Germany Berlin</w:t>
      </w:r>
    </w:p>
    <w:p>
      <w:pPr>
        <w:pStyle w:val="BodyText"/>
      </w:pPr>
      <w:r>
        <w:t xml:space="preserve">This document is an estimate only and does not constitute a final invoice. All costs are subject to verification upon commencement of the engagement.</w:t>
      </w:r>
    </w:p>
    <w:p>
      <w:pPr>
        <w:pStyle w:val="BodyText"/>
      </w:pPr>
      <w:r>
        <w:t xml:space="preserve">© 2025 – All rights reserved. Printed in Germany Berlin.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Germany Berlin</dc:title>
  <dc:creator/>
  <dc:language>en</dc:language>
  <cp:keywords/>
  <dcterms:created xsi:type="dcterms:W3CDTF">2026-10-10T03:47:35Z</dcterms:created>
  <dcterms:modified xsi:type="dcterms:W3CDTF">2026-10-10T03:47:35Z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