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rPr>
          <w:bCs/>
          <w:b/>
        </w:rPr>
        <w:t xml:space="preserve">HelixGen Research Solutions GmbH</w:t>
      </w:r>
    </w:p>
    <w:p>
      <w:pPr>
        <w:pStyle w:val="BodyText"/>
      </w:pPr>
      <w:r>
        <w:t xml:space="preserve">Ludwigstraße 27, 80539 Munich, Germany</w:t>
      </w:r>
    </w:p>
    <w:p>
      <w:pPr>
        <w:pStyle w:val="BodyText"/>
      </w:pPr>
      <w:r>
        <w:t xml:space="preserve">Phone: +49 89 5550 1234 | Email: quotations@helixgen-munich.de</w:t>
      </w:r>
    </w:p>
    <w:p>
      <w:pPr>
        <w:pStyle w:val="BodyText"/>
      </w:pPr>
      <w:r>
        <w:t xml:space="preserve">USt-IdNr: DE312456789 | HRB 245678, Amtsgericht München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QEST-2025-MUC-0487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Dr. Katharina Vogel, Head of Clinical Trials Division, Bayerische Universitätsklinikum GmbH, Pettenkoferstraße 8, 80336 Munich, Germany</w:t>
            </w:r>
          </w:p>
        </w:tc>
      </w:tr>
      <w:tr>
        <w:tc>
          <w:tcPr/>
          <w:p>
            <w:pPr>
              <w:pStyle w:val="Compact"/>
              <w:jc w:val="left"/>
            </w:pPr>
            <w:r>
              <w:t xml:space="preserve">Prepared By</w:t>
            </w:r>
          </w:p>
        </w:tc>
        <w:tc>
          <w:tcPr/>
          <w:p>
            <w:pPr>
              <w:pStyle w:val="Compact"/>
              <w:jc w:val="left"/>
            </w:pPr>
            <w:r>
              <w:t xml:space="preserve">Dr. Markus Stein, Senior Account Director, HelixGen Research Solutions GmbH</w:t>
            </w:r>
          </w:p>
        </w:tc>
      </w:tr>
      <w:tr>
        <w:tc>
          <w:tcPr/>
          <w:p>
            <w:pPr>
              <w:pStyle w:val="Compact"/>
              <w:jc w:val="left"/>
            </w:pPr>
            <w:r>
              <w:t xml:space="preserve">Project Reference</w:t>
            </w:r>
          </w:p>
        </w:tc>
        <w:tc>
          <w:tcPr/>
          <w:p>
            <w:pPr>
              <w:pStyle w:val="Compact"/>
              <w:jc w:val="left"/>
            </w:pPr>
            <w:r>
              <w:t xml:space="preserve">MR-DE-MUC-2025-PhaseIII-Neuro</w:t>
            </w:r>
          </w:p>
        </w:tc>
      </w:tr>
      <w:tr>
        <w:tc>
          <w:tcPr/>
          <w:p>
            <w:pPr>
              <w:pStyle w:val="Compact"/>
              <w:jc w:val="left"/>
            </w:pPr>
            <w:r>
              <w:t xml:space="preserve">Location of Services</w:t>
            </w:r>
          </w:p>
        </w:tc>
        <w:tc>
          <w:tcPr/>
          <w:p>
            <w:pPr>
              <w:pStyle w:val="Compact"/>
              <w:jc w:val="left"/>
            </w:pPr>
            <w:r>
              <w:t xml:space="preserve">Munich, Germany (Bavaria) – Primary and Secondary Research Sites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 HelixGen Research Solutions GmbH to formally outline the projected costs, deliverables, and professional services associated with the engagement of a qualified</w:t>
      </w:r>
      <w:r>
        <w:t xml:space="preserve"> </w:t>
      </w:r>
      <w:r>
        <w:rPr>
          <w:bCs/>
          <w:b/>
        </w:rPr>
        <w:t xml:space="preserve">Medical Researcher</w:t>
      </w:r>
      <w:r>
        <w:t xml:space="preserve"> </w:t>
      </w:r>
      <w:r>
        <w:t xml:space="preserve">for a Phase III clinical research programme in the field of neurodegenerative disorders. All services described herein will be executed within the jurisdiction of</w:t>
      </w:r>
      <w:r>
        <w:t xml:space="preserve"> </w:t>
      </w:r>
      <w:r>
        <w:rPr>
          <w:bCs/>
          <w:b/>
        </w:rPr>
        <w:t xml:space="preserve">Germany Munich</w:t>
      </w:r>
      <w:r>
        <w:t xml:space="preserve">, in full compliance with the German Medical Research Act (Arzneimittelgesetz – AMG), the German Data Protection Act (BDSG), and the European General Data Protection Regulation (GDPR). This</w:t>
      </w:r>
      <w:r>
        <w:t xml:space="preserve"> </w:t>
      </w:r>
      <w:r>
        <w:rPr>
          <w:bCs/>
          <w:b/>
        </w:rPr>
        <w:t xml:space="preserve">Quotation Estimate</w:t>
      </w:r>
      <w:r>
        <w:t xml:space="preserve"> </w:t>
      </w:r>
      <w:r>
        <w:t xml:space="preserve">serves as a binding financial projection for a period of ninety (90) calendar days from the date of issue, after which all listed rates and conditions are subject to revision.</w:t>
      </w:r>
    </w:p>
    <w:bookmarkEnd w:id="21"/>
    <w:bookmarkStart w:id="22" w:name="X412ad920b619624d7160cfdc4090d71e3f49c86"/>
    <w:p>
      <w:pPr>
        <w:pStyle w:val="Heading2"/>
      </w:pPr>
      <w:r>
        <w:t xml:space="preserve">2. Description of Services – Medical Researcher Engagement</w:t>
      </w:r>
    </w:p>
    <w:p>
      <w:pPr>
        <w:pStyle w:val="FirstParagraph"/>
      </w:pPr>
      <w:r>
        <w:t xml:space="preserve">HelixGen Research Solutions GmbH proposes the full-time engagement of a senior</w:t>
      </w:r>
      <w:r>
        <w:t xml:space="preserve"> </w:t>
      </w:r>
      <w:r>
        <w:rPr>
          <w:bCs/>
          <w:b/>
        </w:rPr>
        <w:t xml:space="preserve">Medical Researcher</w:t>
      </w:r>
      <w:r>
        <w:t xml:space="preserve"> </w:t>
      </w:r>
      <w:r>
        <w:t xml:space="preserve">(MD, PhD) with a minimum of twelve (12) years of post-doctoral experience in neurology and clinical pharmacology. The</w:t>
      </w:r>
      <w:r>
        <w:t xml:space="preserve"> </w:t>
      </w:r>
      <w:r>
        <w:rPr>
          <w:bCs/>
          <w:b/>
        </w:rPr>
        <w:t xml:space="preserve">Medical Researcher</w:t>
      </w:r>
      <w:r>
        <w:t xml:space="preserve"> </w:t>
      </w:r>
      <w:r>
        <w:t xml:space="preserve">will be based at the primary research facility in</w:t>
      </w:r>
      <w:r>
        <w:t xml:space="preserve"> </w:t>
      </w:r>
      <w:r>
        <w:rPr>
          <w:bCs/>
          <w:b/>
        </w:rPr>
        <w:t xml:space="preserve">Germany Munich</w:t>
      </w:r>
      <w:r>
        <w:t xml:space="preserve"> </w:t>
      </w:r>
      <w:r>
        <w:t xml:space="preserve">and will perform the following core duties:</w:t>
      </w:r>
    </w:p>
    <w:p>
      <w:pPr>
        <w:numPr>
          <w:ilvl w:val="0"/>
          <w:numId w:val="1001"/>
        </w:numPr>
        <w:pStyle w:val="Compact"/>
      </w:pPr>
      <w:r>
        <w:t xml:space="preserve">Design and oversight of the Phase III clinical trial protocol for a novel neuroprotective agent, including statistical power analysis and endpoint selection.</w:t>
      </w:r>
    </w:p>
    <w:p>
      <w:pPr>
        <w:numPr>
          <w:ilvl w:val="0"/>
          <w:numId w:val="1001"/>
        </w:numPr>
        <w:pStyle w:val="Compact"/>
      </w:pPr>
      <w:r>
        <w:t xml:space="preserve">Coordination of multi-centre data collection across three (3) secondary research sites within the Munich metropolitan area and the broader Bavarian region.</w:t>
      </w:r>
    </w:p>
    <w:p>
      <w:pPr>
        <w:numPr>
          <w:ilvl w:val="0"/>
          <w:numId w:val="1001"/>
        </w:numPr>
        <w:pStyle w:val="Compact"/>
      </w:pPr>
      <w:r>
        <w:t xml:space="preserve">Authorship and peer-review submission of at least two (2) original research articles in internationally indexed journals (IF &gt; 5.0) during the contract period.</w:t>
      </w:r>
    </w:p>
    <w:p>
      <w:pPr>
        <w:numPr>
          <w:ilvl w:val="0"/>
          <w:numId w:val="1001"/>
        </w:numPr>
        <w:pStyle w:val="Compact"/>
      </w:pPr>
      <w:r>
        <w:t xml:space="preserve">Regulatory liaison with the Paul-Ehrlich-Institut (PEI) and the local ethics committee (Ethikkommission) in Munich to ensure continuous compliance with all applicable German and EU research regulations.</w:t>
      </w:r>
    </w:p>
    <w:p>
      <w:pPr>
        <w:numPr>
          <w:ilvl w:val="0"/>
          <w:numId w:val="1001"/>
        </w:numPr>
        <w:pStyle w:val="Compact"/>
      </w:pPr>
      <w:r>
        <w:t xml:space="preserve">Supervision of a team of four (4) junior research assistants and two (2) laboratory technicians assigned to the project in</w:t>
      </w:r>
      <w:r>
        <w:t xml:space="preserve"> </w:t>
      </w:r>
      <w:r>
        <w:rPr>
          <w:bCs/>
          <w:b/>
        </w:rPr>
        <w:t xml:space="preserve">Germany Munich</w:t>
      </w:r>
      <w:r>
        <w:t xml:space="preserve">.</w:t>
      </w:r>
    </w:p>
    <w:p>
      <w:pPr>
        <w:numPr>
          <w:ilvl w:val="0"/>
          <w:numId w:val="1001"/>
        </w:numPr>
        <w:pStyle w:val="Compact"/>
      </w:pPr>
      <w:r>
        <w:t xml:space="preserve">Monthly progress reporting to the client's steering committee, including interim safety data reviews and adverse event documentation.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Medical Researcher – Professional Fee (MD, PhD), full-time engagement, 12-month contract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Junior Research Assistants (4 FTE) – Supervised by the Medical Researcher</w:t>
            </w:r>
          </w:p>
        </w:tc>
        <w:tc>
          <w:tcPr/>
          <w:p>
            <w:pPr>
              <w:pStyle w:val="Compact"/>
              <w:jc w:val="left"/>
            </w:pPr>
            <w:r>
              <w:t xml:space="preserve">Month</w:t>
            </w:r>
          </w:p>
        </w:tc>
        <w:tc>
          <w:tcPr/>
          <w:p>
            <w:pPr>
              <w:pStyle w:val="Compact"/>
              <w:jc w:val="left"/>
            </w:pPr>
            <w:r>
              <w:t xml:space="preserve">48</w:t>
            </w:r>
          </w:p>
        </w:tc>
        <w:tc>
          <w:tcPr/>
          <w:p>
            <w:pPr>
              <w:pStyle w:val="Compact"/>
              <w:jc w:val="left"/>
            </w:pPr>
            <w:r>
              <w:t xml:space="preserve">4,200.00</w:t>
            </w:r>
          </w:p>
        </w:tc>
        <w:tc>
          <w:tcPr/>
          <w:p>
            <w:pPr>
              <w:pStyle w:val="Compact"/>
              <w:jc w:val="left"/>
            </w:pPr>
            <w:r>
              <w:t xml:space="preserve">201,600.00</w:t>
            </w:r>
          </w:p>
        </w:tc>
      </w:tr>
      <w:tr>
        <w:tc>
          <w:tcPr/>
          <w:p>
            <w:pPr>
              <w:pStyle w:val="Compact"/>
              <w:jc w:val="left"/>
            </w:pPr>
            <w:r>
              <w:t xml:space="preserve">03</w:t>
            </w:r>
          </w:p>
        </w:tc>
        <w:tc>
          <w:tcPr/>
          <w:p>
            <w:pPr>
              <w:pStyle w:val="Compact"/>
              <w:jc w:val="left"/>
            </w:pPr>
            <w:r>
              <w:t xml:space="preserve">Laboratory Technicians (2 FTE) – Wet-lab and sample processing</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3,100.00</w:t>
            </w:r>
          </w:p>
        </w:tc>
        <w:tc>
          <w:tcPr/>
          <w:p>
            <w:pPr>
              <w:pStyle w:val="Compact"/>
              <w:jc w:val="left"/>
            </w:pPr>
            <w:r>
              <w:t xml:space="preserve">74,400.00</w:t>
            </w:r>
          </w:p>
        </w:tc>
      </w:tr>
      <w:tr>
        <w:tc>
          <w:tcPr/>
          <w:p>
            <w:pPr>
              <w:pStyle w:val="Compact"/>
              <w:jc w:val="left"/>
            </w:pPr>
            <w:r>
              <w:t xml:space="preserve">04</w:t>
            </w:r>
          </w:p>
        </w:tc>
        <w:tc>
          <w:tcPr/>
          <w:p>
            <w:pPr>
              <w:pStyle w:val="Compact"/>
              <w:jc w:val="left"/>
            </w:pPr>
            <w:r>
              <w:t xml:space="preserve">Research Laboratory Access &amp; Equipment Usage (Munich site, incl. centrifuges, PCR systems, biobank storage)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05</w:t>
            </w:r>
          </w:p>
        </w:tc>
        <w:tc>
          <w:tcPr/>
          <w:p>
            <w:pPr>
              <w:pStyle w:val="Compact"/>
              <w:jc w:val="left"/>
            </w:pPr>
            <w:r>
              <w:t xml:space="preserve">Regulatory &amp; Ethics Committee Filing Fees (PEI, Ethikkommission Munich, local health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06</w:t>
            </w:r>
          </w:p>
        </w:tc>
        <w:tc>
          <w:tcPr/>
          <w:p>
            <w:pPr>
              <w:pStyle w:val="Compact"/>
              <w:jc w:val="left"/>
            </w:pPr>
            <w:r>
              <w:t xml:space="preserve">Publication &amp; Peer-Review Costs (2 articles, open-access fees, translation)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Travel &amp; Inter-site Coordination (Munich metropolitan area, 3 secondary sites)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08</w:t>
            </w:r>
          </w:p>
        </w:tc>
        <w:tc>
          <w:tcPr/>
          <w:p>
            <w:pPr>
              <w:pStyle w:val="Compact"/>
              <w:jc w:val="left"/>
            </w:pPr>
            <w:r>
              <w:t xml:space="preserve">Project Management &amp; Administrative Overhead (15% of items 01–07)</w:t>
            </w:r>
          </w:p>
        </w:tc>
        <w:tc>
          <w:tcPr/>
          <w:p>
            <w:pPr>
              <w:pStyle w:val="Compact"/>
              <w:jc w:val="left"/>
            </w:pPr>
            <w:r>
              <w:t xml:space="preserve">Lot</w:t>
            </w:r>
          </w:p>
        </w:tc>
        <w:tc>
          <w:tcPr/>
          <w:p>
            <w:pPr>
              <w:pStyle w:val="Compact"/>
              <w:jc w:val="left"/>
            </w:pPr>
            <w:r>
              <w:t xml:space="preserve">1</w:t>
            </w:r>
          </w:p>
        </w:tc>
        <w:tc>
          <w:tcPr/>
          <w:p>
            <w:pPr>
              <w:pStyle w:val="Compact"/>
              <w:jc w:val="left"/>
            </w:pPr>
            <w:r>
              <w:t xml:space="preserve">—</w:t>
            </w:r>
          </w:p>
        </w:tc>
        <w:tc>
          <w:tcPr/>
          <w:p>
            <w:pPr>
              <w:pStyle w:val="Compact"/>
              <w:jc w:val="left"/>
            </w:pPr>
            <w:r>
              <w:t xml:space="preserve">91,530.00</w:t>
            </w:r>
          </w:p>
        </w:tc>
      </w:tr>
      <w:tr>
        <w:tc>
          <w:tcPr>
            <w:gridSpan w:val="5"/>
          </w:tcPr>
          <w:p>
            <w:pPr>
              <w:pStyle w:val="Compact"/>
              <w:jc w:val="left"/>
            </w:pPr>
            <w:r>
              <w:t xml:space="preserve">Subtotal (excl. VAT)</w:t>
            </w:r>
          </w:p>
        </w:tc>
        <w:tc>
          <w:tcPr/>
          <w:p>
            <w:pPr>
              <w:pStyle w:val="Compact"/>
              <w:jc w:val="left"/>
            </w:pPr>
            <w:r>
              <w:t xml:space="preserve">683,030.00</w:t>
            </w:r>
          </w:p>
        </w:tc>
      </w:tr>
      <w:tr>
        <w:tc>
          <w:tcPr>
            <w:gridSpan w:val="5"/>
          </w:tcPr>
          <w:p>
            <w:pPr>
              <w:pStyle w:val="Compact"/>
              <w:jc w:val="left"/>
            </w:pPr>
            <w:r>
              <w:t xml:space="preserve">VAT (19% – German Standard Rate)</w:t>
            </w:r>
          </w:p>
        </w:tc>
        <w:tc>
          <w:tcPr/>
          <w:p>
            <w:pPr>
              <w:pStyle w:val="Compact"/>
              <w:jc w:val="left"/>
            </w:pPr>
            <w:r>
              <w:t xml:space="preserve">129,775.70</w:t>
            </w:r>
          </w:p>
        </w:tc>
      </w:tr>
      <w:tr>
        <w:tc>
          <w:tcPr>
            <w:gridSpan w:val="5"/>
          </w:tcPr>
          <w:p>
            <w:pPr>
              <w:pStyle w:val="Compact"/>
              <w:jc w:val="left"/>
            </w:pPr>
            <w:r>
              <w:t xml:space="preserve">TOTAL AMOUNT DUE (incl. VAT)</w:t>
            </w:r>
          </w:p>
        </w:tc>
        <w:tc>
          <w:tcPr/>
          <w:p>
            <w:pPr>
              <w:pStyle w:val="Compact"/>
              <w:jc w:val="left"/>
            </w:pPr>
            <w:r>
              <w:t xml:space="preserve">812,805.70</w:t>
            </w:r>
          </w:p>
        </w:tc>
      </w:tr>
    </w:tbl>
    <w:bookmarkEnd w:id="23"/>
    <w:bookmarkStart w:id="24" w:name="payment-terms"/>
    <w:p>
      <w:pPr>
        <w:pStyle w:val="Heading2"/>
      </w:pPr>
      <w:r>
        <w:t xml:space="preserve">4. Payment Terms</w:t>
      </w:r>
    </w:p>
    <w:p>
      <w:pPr>
        <w:pStyle w:val="FirstParagraph"/>
      </w:pPr>
      <w:r>
        <w:t xml:space="preserve">All amounts stated in this</w:t>
      </w:r>
      <w:r>
        <w:t xml:space="preserve"> </w:t>
      </w:r>
      <w:r>
        <w:rPr>
          <w:bCs/>
          <w:b/>
        </w:rPr>
        <w:t xml:space="preserve">Quotation Estimate</w:t>
      </w:r>
      <w:r>
        <w:t xml:space="preserve"> </w:t>
      </w:r>
      <w:r>
        <w:t xml:space="preserve">are denominated in Euro (EUR) and are subject to the standard 19% German value-added tax (Mehrwertsteuer). Payment shall be made via bank transfer (SEPA) to the account of HelixGen Research Solutions GmbH, IBAN: DE89 3704 0044 0532 0130 00, BIC: COBADEFFXXX, within thirty (30) calendar days of invoice date. Invoices will be issued on a monthly basis, reflecting the actual services rendered by the</w:t>
      </w:r>
      <w:r>
        <w:t xml:space="preserve"> </w:t>
      </w:r>
      <w:r>
        <w:rPr>
          <w:bCs/>
          <w:b/>
        </w:rPr>
        <w:t xml:space="preserve">Medical Researcher</w:t>
      </w:r>
      <w:r>
        <w:t xml:space="preserve"> </w:t>
      </w:r>
      <w:r>
        <w:t xml:space="preserve">and the supporting team during the preceding calendar month. A 1.5% monthly late-payment interest will apply to overdue balances in accordance with § 288 of the German Civil Code (BGB).</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ninety (90) days from the date of issue. Upon expiry, all rates, scope definitions, and conditions must be reconfirmed in writing by both parties.</w:t>
      </w:r>
    </w:p>
    <w:p>
      <w:pPr>
        <w:numPr>
          <w:ilvl w:val="0"/>
          <w:numId w:val="1002"/>
        </w:numPr>
        <w:pStyle w:val="Compact"/>
      </w:pPr>
      <w:r>
        <w:t xml:space="preserve">The engagement of the</w:t>
      </w:r>
      <w:r>
        <w:t xml:space="preserve"> </w:t>
      </w:r>
      <w:r>
        <w:rPr>
          <w:bCs/>
          <w:b/>
        </w:rPr>
        <w:t xml:space="preserve">Medical Researcher</w:t>
      </w:r>
      <w:r>
        <w:t xml:space="preserve"> </w:t>
      </w:r>
      <w:r>
        <w:t xml:space="preserve">is governed by a separate Service Agreement (Dienstleistungsvertrag) to be executed prior to the commencement of any research activities in</w:t>
      </w:r>
      <w:r>
        <w:t xml:space="preserve"> </w:t>
      </w:r>
      <w:r>
        <w:rPr>
          <w:bCs/>
          <w:b/>
        </w:rPr>
        <w:t xml:space="preserve">Germany Munich</w:t>
      </w:r>
      <w:r>
        <w:t xml:space="preserve">.</w:t>
      </w:r>
    </w:p>
    <w:p>
      <w:pPr>
        <w:numPr>
          <w:ilvl w:val="0"/>
          <w:numId w:val="1002"/>
        </w:numPr>
        <w:pStyle w:val="Compact"/>
      </w:pPr>
      <w:r>
        <w:t xml:space="preserve">All research data, intellectual property, and publication rights generated during the course of this project shall vest exclusively in the client, Bayerische Universitätsklinikum GmbH, unless otherwise stipulated in the Service Agreement.</w:t>
      </w:r>
    </w:p>
    <w:p>
      <w:pPr>
        <w:numPr>
          <w:ilvl w:val="0"/>
          <w:numId w:val="1002"/>
        </w:numPr>
        <w:pStyle w:val="Compact"/>
      </w:pPr>
      <w:r>
        <w:t xml:space="preserve">HelixGen Research Solutions GmbH shall maintain full professional liability insurance (Berufshaftpflichtversicherung) with a minimum coverage of EUR 5,000,000 per claim throughout the duration of the contract.</w:t>
      </w:r>
    </w:p>
    <w:p>
      <w:pPr>
        <w:numPr>
          <w:ilvl w:val="0"/>
          <w:numId w:val="1002"/>
        </w:numPr>
        <w:pStyle w:val="Compact"/>
      </w:pPr>
      <w:r>
        <w:t xml:space="preserve">Any changes to the scope of work, additional research sites, or extended timelines must be documented in a written change order signed by both parties before implementation. Revised costs will be reflected in a supplementary</w:t>
      </w:r>
      <w:r>
        <w:t xml:space="preserve"> </w:t>
      </w:r>
      <w:r>
        <w:rPr>
          <w:bCs/>
          <w:b/>
        </w:rPr>
        <w:t xml:space="preserve">Quotation Estimate</w:t>
      </w:r>
      <w:r>
        <w:t xml:space="preserve">.</w:t>
      </w:r>
    </w:p>
    <w:p>
      <w:pPr>
        <w:numPr>
          <w:ilvl w:val="0"/>
          <w:numId w:val="1002"/>
        </w:numPr>
        <w:pStyle w:val="Compact"/>
      </w:pPr>
      <w:r>
        <w:t xml:space="preserve">Both parties agree to resolve any disputes arising from this</w:t>
      </w:r>
      <w:r>
        <w:t xml:space="preserve"> </w:t>
      </w:r>
      <w:r>
        <w:rPr>
          <w:bCs/>
          <w:b/>
        </w:rPr>
        <w:t xml:space="preserve">Quotation Estimate</w:t>
      </w:r>
      <w:r>
        <w:t xml:space="preserve"> </w:t>
      </w:r>
      <w:r>
        <w:t xml:space="preserve">or the subsequent Service Agreement through mediation, followed by binding arbitration under the rules of the Arbitration Institute of the German Chamber of Commerce (DIS) in Munich, Germany.</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contract until formally accepted in writing by the client and countersigned by HelixGen Research Solutions GmbH.</w:t>
      </w:r>
    </w:p>
    <w:bookmarkEnd w:id="25"/>
    <w:bookmarkStart w:id="26" w:name="acceptance-and-signatures"/>
    <w:p>
      <w:pPr>
        <w:pStyle w:val="Heading2"/>
      </w:pPr>
      <w:r>
        <w:t xml:space="preserve">6. Acceptance and Signatures</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financial projections outlined herein for the engagement of a</w:t>
      </w:r>
      <w:r>
        <w:t xml:space="preserve"> </w:t>
      </w:r>
      <w:r>
        <w:rPr>
          <w:bCs/>
          <w:b/>
        </w:rPr>
        <w:t xml:space="preserve">Medical Researcher</w:t>
      </w:r>
      <w:r>
        <w:t xml:space="preserve"> </w:t>
      </w:r>
      <w:r>
        <w:t xml:space="preserve">and associated services in</w:t>
      </w:r>
      <w:r>
        <w:t xml:space="preserve"> </w:t>
      </w:r>
      <w:r>
        <w:rPr>
          <w:bCs/>
          <w:b/>
        </w:rPr>
        <w:t xml:space="preserve">Germany Munich</w:t>
      </w:r>
      <w:r>
        <w:t xml:space="preserve">.</w:t>
      </w:r>
    </w:p>
    <w:p>
      <w:pPr>
        <w:pStyle w:val="BodyText"/>
      </w:pPr>
      <w:r>
        <w:rPr>
          <w:bCs/>
          <w:b/>
        </w:rPr>
        <w:t xml:space="preserve">For and on behalf of HelixGen Research Solutions GmbH</w:t>
      </w:r>
    </w:p>
    <w:p>
      <w:pPr>
        <w:pStyle w:val="BodyText"/>
      </w:pPr>
      <w:r>
        <w:t xml:space="preserve">Name: Dr. Markus Stein</w:t>
      </w:r>
    </w:p>
    <w:p>
      <w:pPr>
        <w:pStyle w:val="BodyText"/>
      </w:pPr>
      <w:r>
        <w:t xml:space="preserve">Title: Senior Account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Bayerische Universitätsklinikum GmbH</w:t>
      </w:r>
    </w:p>
    <w:p>
      <w:pPr>
        <w:pStyle w:val="BodyText"/>
      </w:pPr>
      <w:r>
        <w:t xml:space="preserve">Name: Dr. Katharina Vogel</w:t>
      </w:r>
    </w:p>
    <w:p>
      <w:pPr>
        <w:pStyle w:val="BodyText"/>
      </w:pPr>
      <w:r>
        <w:t xml:space="preserve">Title: Head of Clinical Trials Division</w:t>
      </w:r>
    </w:p>
    <w:p>
      <w:pPr>
        <w:pStyle w:val="BodyText"/>
      </w:pPr>
      <w:r>
        <w:t xml:space="preserve">Date: ____________________</w:t>
      </w:r>
    </w:p>
    <w:p>
      <w:pPr>
        <w:pStyle w:val="BodyText"/>
      </w:pPr>
      <w:r>
        <w:t xml:space="preserve">Signature: ____________________</w:t>
      </w:r>
    </w:p>
    <w:p>
      <w:pPr>
        <w:pStyle w:val="BodyText"/>
      </w:pPr>
      <w:r>
        <w:t xml:space="preserve">Quotation Estimate No. QEST-2025-MUC-0487 | HelixGen Research Solutions GmbH | Munich, Germany</w:t>
      </w:r>
    </w:p>
    <w:p>
      <w:pPr>
        <w:pStyle w:val="BodyText"/>
      </w:pP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Germany Munich</dc:title>
  <dc:creator/>
  <dc:language>en</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file>