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Clients in India Mumbai</w:t>
      </w:r>
    </w:p>
    <w:bookmarkEnd w:id="20"/>
    <w:p>
      <w:pPr>
        <w:pStyle w:val="BodyText"/>
      </w:pPr>
      <w:r>
        <w:rPr>
          <w:bCs/>
          <w:b/>
        </w:rPr>
        <w:t xml:space="preserve">Quotation No.:</w:t>
      </w:r>
      <w:r>
        <w:t xml:space="preserve"> </w:t>
      </w:r>
      <w:r>
        <w:t xml:space="preserve">QTE-MR-2025-0847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Ananya Deshmukh, Lead Consultant</w:t>
      </w:r>
      <w:r>
        <w:br/>
      </w:r>
      <w:r>
        <w:rPr>
          <w:bCs/>
          <w:b/>
        </w:rPr>
        <w:t xml:space="preserve">Organization:</w:t>
      </w:r>
      <w:r>
        <w:t xml:space="preserve"> </w:t>
      </w:r>
      <w:r>
        <w:t xml:space="preserve">Mumbai Biomedical Research Associates Pvt. Ltd.</w:t>
      </w:r>
      <w:r>
        <w:br/>
      </w:r>
      <w:r>
        <w:rPr>
          <w:bCs/>
          <w:b/>
        </w:rPr>
        <w:t xml:space="preserve">Location:</w:t>
      </w:r>
      <w:r>
        <w:t xml:space="preserve"> </w:t>
      </w:r>
      <w:r>
        <w:t xml:space="preserve">Andheri East, India Mumbai</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Mumbai Biomedical Research Associates Pvt. Ltd., a registered research consultancy operating out of India Mumbai, to provide comprehensive professional services of a qualified</w:t>
      </w:r>
      <w:r>
        <w:t xml:space="preserve"> </w:t>
      </w:r>
      <w:r>
        <w:t xml:space="preserve">Medical Researcher</w:t>
      </w:r>
      <w:r>
        <w:t xml:space="preserve"> </w:t>
      </w:r>
      <w:r>
        <w:t xml:space="preserve">for the period specified herein. This document outlines the scope of engagement, deliverables, associated costs, and contractual terms governing the provision of medical research expertise tailored to the needs of our client based in India Mumbai.</w:t>
      </w:r>
    </w:p>
    <w:p>
      <w:pPr>
        <w:pStyle w:val="BodyText"/>
      </w:pPr>
      <w:r>
        <w:t xml:space="preserve">The</w:t>
      </w:r>
      <w:r>
        <w:t xml:space="preserve"> </w:t>
      </w:r>
      <w:r>
        <w:t xml:space="preserve">Medical Researcher</w:t>
      </w:r>
      <w:r>
        <w:t xml:space="preserve"> </w:t>
      </w:r>
      <w:r>
        <w:t xml:space="preserve">engagement described in this</w:t>
      </w:r>
      <w:r>
        <w:t xml:space="preserve"> </w:t>
      </w:r>
      <w:r>
        <w:t xml:space="preserve">Quotation Estimate</w:t>
      </w:r>
      <w:r>
        <w:t xml:space="preserve"> </w:t>
      </w:r>
      <w:r>
        <w:t xml:space="preserve">encompasses clinical data analysis, literature review, protocol development, regulatory compliance documentation, and peer-reviewed publication support. All services will be delivered in accordance with the standards set by the Indian Council of Medical Research (ICMR) and the Drugs and Cosmetics Act applicable in India Mumbai.</w:t>
      </w:r>
    </w:p>
    <w:bookmarkEnd w:id="21"/>
    <w:bookmarkStart w:id="22" w:name="Xb1e69cda2657fb3522d5f06f68500be55311324"/>
    <w:p>
      <w:pPr>
        <w:pStyle w:val="Heading2"/>
      </w:pPr>
      <w:r>
        <w:t xml:space="preserve">2. Scope of Services – Medical Researcher Engagement</w:t>
      </w:r>
    </w:p>
    <w:p>
      <w:pPr>
        <w:pStyle w:val="FirstParagraph"/>
      </w:pPr>
      <w:r>
        <w:t xml:space="preserve">The following services are included under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 India Mumbai: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Medical Researcher consultation for clinical trial protocol design and methodology development</w:t>
            </w:r>
          </w:p>
        </w:tc>
        <w:tc>
          <w:tcPr/>
          <w:p>
            <w:pPr>
              <w:pStyle w:val="Compact"/>
              <w:jc w:val="left"/>
            </w:pPr>
            <w:r>
              <w:t xml:space="preserve">3 months (120 working hours)</w:t>
            </w:r>
          </w:p>
        </w:tc>
        <w:tc>
          <w:tcPr/>
          <w:p>
            <w:pPr>
              <w:pStyle w:val="Compact"/>
              <w:jc w:val="left"/>
            </w:pPr>
            <w:r>
              <w:t xml:space="preserve">₹ 4,500 / hour</w:t>
            </w:r>
          </w:p>
        </w:tc>
        <w:tc>
          <w:tcPr/>
          <w:p>
            <w:pPr>
              <w:pStyle w:val="Compact"/>
              <w:jc w:val="left"/>
            </w:pPr>
            <w:r>
              <w:t xml:space="preserve">₹ 5,40,000</w:t>
            </w:r>
          </w:p>
        </w:tc>
      </w:tr>
      <w:tr>
        <w:tc>
          <w:tcPr/>
          <w:p>
            <w:pPr>
              <w:pStyle w:val="Compact"/>
              <w:jc w:val="left"/>
            </w:pPr>
            <w:r>
              <w:t xml:space="preserve">2</w:t>
            </w:r>
          </w:p>
        </w:tc>
        <w:tc>
          <w:tcPr/>
          <w:p>
            <w:pPr>
              <w:pStyle w:val="Compact"/>
              <w:jc w:val="left"/>
            </w:pPr>
            <w:r>
              <w:t xml:space="preserve">Systematic literature review and meta-analysis on specified therapeutic areas</w:t>
            </w:r>
          </w:p>
        </w:tc>
        <w:tc>
          <w:tcPr/>
          <w:p>
            <w:pPr>
              <w:pStyle w:val="Compact"/>
              <w:jc w:val="left"/>
            </w:pPr>
            <w:r>
              <w:t xml:space="preserve">2 comprehensive reports</w:t>
            </w:r>
          </w:p>
        </w:tc>
        <w:tc>
          <w:tcPr/>
          <w:p>
            <w:pPr>
              <w:pStyle w:val="Compact"/>
              <w:jc w:val="left"/>
            </w:pPr>
            <w:r>
              <w:t xml:space="preserve">₹ 1,80,000 / report</w:t>
            </w:r>
          </w:p>
        </w:tc>
        <w:tc>
          <w:tcPr/>
          <w:p>
            <w:pPr>
              <w:pStyle w:val="Compact"/>
              <w:jc w:val="left"/>
            </w:pPr>
            <w:r>
              <w:t xml:space="preserve">₹ 3,60,000</w:t>
            </w:r>
          </w:p>
        </w:tc>
      </w:tr>
      <w:tr>
        <w:tc>
          <w:tcPr/>
          <w:p>
            <w:pPr>
              <w:pStyle w:val="Compact"/>
              <w:jc w:val="left"/>
            </w:pPr>
            <w:r>
              <w:t xml:space="preserve">3</w:t>
            </w:r>
          </w:p>
        </w:tc>
        <w:tc>
          <w:tcPr/>
          <w:p>
            <w:pPr>
              <w:pStyle w:val="Compact"/>
              <w:jc w:val="left"/>
            </w:pPr>
            <w:r>
              <w:t xml:space="preserve">Statistical data analysis and biostatistical modelling for clinical datasets</w:t>
            </w:r>
          </w:p>
        </w:tc>
        <w:tc>
          <w:tcPr/>
          <w:p>
            <w:pPr>
              <w:pStyle w:val="Compact"/>
              <w:jc w:val="left"/>
            </w:pPr>
            <w:r>
              <w:t xml:space="preserve">1 project (up to 50,000 data points)</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4</w:t>
            </w:r>
          </w:p>
        </w:tc>
        <w:tc>
          <w:tcPr/>
          <w:p>
            <w:pPr>
              <w:pStyle w:val="Compact"/>
              <w:jc w:val="left"/>
            </w:pPr>
            <w:r>
              <w:t xml:space="preserve">Regulatory documentation and submission support (CDSCO, ICMR compliance for India Mumbai operations)</w:t>
            </w:r>
          </w:p>
        </w:tc>
        <w:tc>
          <w:tcPr/>
          <w:p>
            <w:pPr>
              <w:pStyle w:val="Compact"/>
              <w:jc w:val="left"/>
            </w:pPr>
            <w:r>
              <w:t xml:space="preserve">1 submission cycle</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Peer-reviewed manuscript preparation, editing, and journal submission assistance</w:t>
            </w:r>
          </w:p>
        </w:tc>
        <w:tc>
          <w:tcPr/>
          <w:p>
            <w:pPr>
              <w:pStyle w:val="Compact"/>
              <w:jc w:val="left"/>
            </w:pPr>
            <w:r>
              <w:t xml:space="preserve">3 manuscripts</w:t>
            </w:r>
          </w:p>
        </w:tc>
        <w:tc>
          <w:tcPr/>
          <w:p>
            <w:pPr>
              <w:pStyle w:val="Compact"/>
              <w:jc w:val="left"/>
            </w:pPr>
            <w:r>
              <w:t xml:space="preserve">₹ 85,000 / manuscript</w:t>
            </w:r>
          </w:p>
        </w:tc>
        <w:tc>
          <w:tcPr/>
          <w:p>
            <w:pPr>
              <w:pStyle w:val="Compact"/>
              <w:jc w:val="left"/>
            </w:pPr>
            <w:r>
              <w:t xml:space="preserve">₹ 2,55,000</w:t>
            </w:r>
          </w:p>
        </w:tc>
      </w:tr>
      <w:tr>
        <w:tc>
          <w:tcPr/>
          <w:p>
            <w:pPr>
              <w:pStyle w:val="Compact"/>
              <w:jc w:val="left"/>
            </w:pPr>
            <w:r>
              <w:t xml:space="preserve">6</w:t>
            </w:r>
          </w:p>
        </w:tc>
        <w:tc>
          <w:tcPr/>
          <w:p>
            <w:pPr>
              <w:pStyle w:val="Compact"/>
              <w:jc w:val="left"/>
            </w:pPr>
            <w:r>
              <w:t xml:space="preserve">On-site research supervision and team mentoring at client facility in India Mumbai</w:t>
            </w:r>
          </w:p>
        </w:tc>
        <w:tc>
          <w:tcPr/>
          <w:p>
            <w:pPr>
              <w:pStyle w:val="Compact"/>
              <w:jc w:val="left"/>
            </w:pPr>
            <w:r>
              <w:t xml:space="preserve">8 site visits (half-day each)</w:t>
            </w:r>
          </w:p>
        </w:tc>
        <w:tc>
          <w:tcPr/>
          <w:p>
            <w:pPr>
              <w:pStyle w:val="Compact"/>
              <w:jc w:val="left"/>
            </w:pPr>
            <w:r>
              <w:t xml:space="preserve">₹ 25,000 / visit</w:t>
            </w:r>
          </w:p>
        </w:tc>
        <w:tc>
          <w:tcPr/>
          <w:p>
            <w:pPr>
              <w:pStyle w:val="Compact"/>
              <w:jc w:val="left"/>
            </w:pPr>
            <w:r>
              <w:t xml:space="preserve">₹ 2,00,000</w:t>
            </w:r>
          </w:p>
        </w:tc>
      </w:tr>
      <w:tr>
        <w:tc>
          <w:tcPr/>
          <w:p>
            <w:pPr>
              <w:pStyle w:val="Compact"/>
              <w:jc w:val="left"/>
            </w:pPr>
            <w:r>
              <w:t xml:space="preserve">7</w:t>
            </w:r>
          </w:p>
        </w:tc>
        <w:tc>
          <w:tcPr/>
          <w:p>
            <w:pPr>
              <w:pStyle w:val="Compact"/>
              <w:jc w:val="left"/>
            </w:pPr>
            <w:r>
              <w:t xml:space="preserve">Research ethics committee (IEC) application preparation and presentation support</w:t>
            </w:r>
          </w:p>
        </w:tc>
        <w:tc>
          <w:tcPr/>
          <w:p>
            <w:pPr>
              <w:pStyle w:val="Compact"/>
              <w:jc w:val="left"/>
            </w:pPr>
            <w:r>
              <w:t xml:space="preserve">1 application</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8</w:t>
            </w:r>
          </w:p>
        </w:tc>
        <w:tc>
          <w:tcPr/>
          <w:p>
            <w:pPr>
              <w:pStyle w:val="Compact"/>
              <w:jc w:val="left"/>
            </w:pPr>
            <w:r>
              <w:t xml:space="preserve">Post-engagement support: Q&amp;A, revisions, and follow-up consultations (30 days)</w:t>
            </w:r>
          </w:p>
        </w:tc>
        <w:tc>
          <w:tcPr/>
          <w:p>
            <w:pPr>
              <w:pStyle w:val="Compact"/>
              <w:jc w:val="left"/>
            </w:pPr>
            <w:r>
              <w:t xml:space="preserve">30 calendar days</w:t>
            </w:r>
          </w:p>
        </w:tc>
        <w:tc>
          <w:tcPr/>
          <w:p>
            <w:pPr>
              <w:pStyle w:val="Compact"/>
              <w:jc w:val="left"/>
            </w:pPr>
            <w:r>
              <w:t xml:space="preserve">₹ 60,000</w:t>
            </w:r>
          </w:p>
        </w:tc>
        <w:tc>
          <w:tcPr/>
          <w:p>
            <w:pPr>
              <w:pStyle w:val="Compact"/>
              <w:jc w:val="left"/>
            </w:pPr>
            <w:r>
              <w:t xml:space="preserve">₹ 60,000</w:t>
            </w:r>
          </w:p>
        </w:tc>
      </w:tr>
      <w:tr>
        <w:tc>
          <w:tcPr>
            <w:gridSpan w:val="4"/>
          </w:tcPr>
          <w:p>
            <w:pPr>
              <w:pStyle w:val="Compact"/>
              <w:jc w:val="left"/>
            </w:pPr>
            <w:r>
              <w:t xml:space="preserve">Subtotal (INR)</w:t>
            </w:r>
          </w:p>
        </w:tc>
        <w:tc>
          <w:tcPr/>
          <w:p>
            <w:pPr>
              <w:pStyle w:val="Compact"/>
              <w:jc w:val="left"/>
            </w:pPr>
            <w:r>
              <w:t xml:space="preserve">₹ 18,80,000</w:t>
            </w:r>
          </w:p>
        </w:tc>
      </w:tr>
      <w:tr>
        <w:tc>
          <w:tcPr>
            <w:gridSpan w:val="4"/>
          </w:tcPr>
          <w:p>
            <w:pPr>
              <w:pStyle w:val="Compact"/>
              <w:jc w:val="left"/>
            </w:pPr>
            <w:r>
              <w:t xml:space="preserve">GST @ 18% (Applicable in India Mumbai)</w:t>
            </w:r>
          </w:p>
        </w:tc>
        <w:tc>
          <w:tcPr/>
          <w:p>
            <w:pPr>
              <w:pStyle w:val="Compact"/>
              <w:jc w:val="left"/>
            </w:pPr>
            <w:r>
              <w:t xml:space="preserve">₹ 3,38,400</w:t>
            </w:r>
          </w:p>
        </w:tc>
      </w:tr>
      <w:tr>
        <w:tc>
          <w:tcPr>
            <w:gridSpan w:val="4"/>
          </w:tcPr>
          <w:p>
            <w:pPr>
              <w:pStyle w:val="Compact"/>
              <w:jc w:val="left"/>
            </w:pPr>
            <w:r>
              <w:t xml:space="preserve">Grand Total (INR)</w:t>
            </w:r>
          </w:p>
        </w:tc>
        <w:tc>
          <w:tcPr/>
          <w:p>
            <w:pPr>
              <w:pStyle w:val="Compact"/>
              <w:jc w:val="left"/>
            </w:pPr>
            <w:r>
              <w:t xml:space="preserve">₹ 22,18,400</w:t>
            </w:r>
          </w:p>
        </w:tc>
      </w:tr>
    </w:tbl>
    <w:bookmarkEnd w:id="22"/>
    <w:bookmarkStart w:id="23" w:name="qualifications-of-the-medical-researcher"/>
    <w:p>
      <w:pPr>
        <w:pStyle w:val="Heading2"/>
      </w:pPr>
      <w:r>
        <w:t xml:space="preserve">3. Qualifications of the Medical Researcher</w:t>
      </w:r>
    </w:p>
    <w:p>
      <w:pPr>
        <w:pStyle w:val="FirstParagraph"/>
      </w:pPr>
      <w:r>
        <w:t xml:space="preserve">The</w:t>
      </w:r>
      <w:r>
        <w:t xml:space="preserve"> </w:t>
      </w:r>
      <w:r>
        <w:t xml:space="preserve">Medical Researcher</w:t>
      </w:r>
      <w:r>
        <w:t xml:space="preserve"> </w:t>
      </w:r>
      <w:r>
        <w:t xml:space="preserve">assigned under this</w:t>
      </w:r>
      <w:r>
        <w:t xml:space="preserve"> </w:t>
      </w:r>
      <w:r>
        <w:t xml:space="preserve">Quotation Estimate</w:t>
      </w:r>
      <w:r>
        <w:t xml:space="preserve"> </w:t>
      </w:r>
      <w:r>
        <w:t xml:space="preserve">shall possess a minimum of an MD (Research) or PhD in Clinical Medicine, with a minimum of eight (8) years of post-doctoral research experience. The researcher must hold a valid registration with the Medical Council of India (MCI) / National Medical Commission (NMC) and have a proven track record of at least fifteen (15) first-author publications in indexed journals. Prior experience conducting research within India Mumbai institutions, including but not limited to AIIMS, Tata Memorial Hospital, and KEM Hospital, is strongly preferred.</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thirty (30) calendar days from the date of issue. Beyond this period, rates may be revised based on prevailing market conditions in India Mumbai.</w:t>
      </w:r>
    </w:p>
    <w:p>
      <w:pPr>
        <w:pStyle w:val="BodyText"/>
      </w:pPr>
      <w:r>
        <w:rPr>
          <w:bCs/>
          <w:b/>
        </w:rPr>
        <w:t xml:space="preserve">4.2 Payment Terms:</w:t>
      </w:r>
      <w:r>
        <w:t xml:space="preserve"> </w:t>
      </w:r>
      <w:r>
        <w:t xml:space="preserve">40% advance payment upon acceptance of this</w:t>
      </w:r>
      <w:r>
        <w:t xml:space="preserve"> </w:t>
      </w:r>
      <w:r>
        <w:t xml:space="preserve">Quotation Estimate</w:t>
      </w:r>
      <w:r>
        <w:t xml:space="preserve">, 35% upon completion of the mid-project deliverables, and 25% upon final delivery and acceptance of all outputs by the client.</w:t>
      </w:r>
    </w:p>
    <w:p>
      <w:pPr>
        <w:pStyle w:val="BodyText"/>
      </w:pPr>
      <w:r>
        <w:rPr>
          <w:bCs/>
          <w:b/>
        </w:rPr>
        <w:t xml:space="preserve">4.3 Payment Method:</w:t>
      </w:r>
      <w:r>
        <w:t xml:space="preserve"> </w:t>
      </w:r>
      <w:r>
        <w:t xml:space="preserve">All payments shall be made via bank transfer to the account of Mumbai Biomedical Research Associates Pvt. Ltd., India Mumbai. Cheques shall be drawn in favour of the organization and payable at Mumbai.</w:t>
      </w:r>
    </w:p>
    <w:p>
      <w:pPr>
        <w:pStyle w:val="BodyText"/>
      </w:pPr>
      <w:r>
        <w:rPr>
          <w:bCs/>
          <w:b/>
        </w:rPr>
        <w:t xml:space="preserve">4.4 Intellectual Property:</w:t>
      </w:r>
      <w:r>
        <w:t xml:space="preserve"> </w:t>
      </w:r>
      <w:r>
        <w:t xml:space="preserve">All research outputs, data, manuscripts, and protocols generated under this engagement shall remain the exclusive property of the client. The</w:t>
      </w:r>
      <w:r>
        <w:t xml:space="preserve"> </w:t>
      </w:r>
      <w:r>
        <w:t xml:space="preserve">Medical Researcher</w:t>
      </w:r>
      <w:r>
        <w:t xml:space="preserve"> </w:t>
      </w:r>
      <w:r>
        <w:t xml:space="preserve">shall not publish or disclose any proprietary information without written consent.</w:t>
      </w:r>
    </w:p>
    <w:p>
      <w:pPr>
        <w:pStyle w:val="BodyText"/>
      </w:pPr>
      <w:r>
        <w:rPr>
          <w:bCs/>
          <w:b/>
        </w:rPr>
        <w:t xml:space="preserve">4.5 Confidentiality:</w:t>
      </w:r>
      <w:r>
        <w:t xml:space="preserve"> </w:t>
      </w:r>
      <w:r>
        <w:t xml:space="preserve">Both parties agree to maintain strict confidentiality regarding all data, patient information, and research findings in compliance with the Information Technology Act, 2000, and applicable data protection regulations in India Mumbai.</w:t>
      </w:r>
    </w:p>
    <w:p>
      <w:pPr>
        <w:pStyle w:val="BodyText"/>
      </w:pPr>
      <w:r>
        <w:rPr>
          <w:bCs/>
          <w:b/>
        </w:rPr>
        <w:t xml:space="preserve">4.6 Cancellation:</w:t>
      </w:r>
      <w:r>
        <w:t xml:space="preserve"> </w:t>
      </w:r>
      <w:r>
        <w:t xml:space="preserve">In the event of cancellation by the client after the advance payment, 50% of the advance shall be non-refundable. Cancellation by the organization prior to commencement shall result in a full refund within fourteen (14) working days.</w:t>
      </w:r>
    </w:p>
    <w:p>
      <w:pPr>
        <w:pStyle w:val="BodyText"/>
      </w:pPr>
      <w:r>
        <w:rPr>
          <w:bCs/>
          <w:b/>
        </w:rPr>
        <w:t xml:space="preserve">4.7 Dispute Resolution:</w:t>
      </w:r>
      <w:r>
        <w:t xml:space="preserve"> </w:t>
      </w:r>
      <w:r>
        <w:t xml:space="preserve">Any disputes arising from this</w:t>
      </w:r>
      <w:r>
        <w:t xml:space="preserve"> </w:t>
      </w:r>
      <w:r>
        <w:t xml:space="preserve">Quotation Estimate</w:t>
      </w:r>
      <w:r>
        <w:t xml:space="preserve"> </w:t>
      </w:r>
      <w:r>
        <w:t xml:space="preserve">shall be resolved through arbitration in India Mumbai in accordance with the Arbitration and Conciliation Act, 1996. The jurisdiction of courts in Mumbai, India shall be exclusive.</w:t>
      </w:r>
    </w:p>
    <w:p>
      <w:pPr>
        <w:pStyle w:val="BodyText"/>
      </w:pPr>
      <w:r>
        <w:rPr>
          <w:bCs/>
          <w:b/>
        </w:rPr>
        <w:t xml:space="preserve">4.8 Force Majeure:</w:t>
      </w:r>
      <w:r>
        <w:t xml:space="preserve"> </w:t>
      </w:r>
      <w:r>
        <w:t xml:space="preserve">Neither party shall be liable for delays caused by natural disasters, government regulations, pandemics, or other events beyond reasonable control, particularly those affecting operations in India Mumbai.</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rates, and scope of work outlined in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 India Mumbai. This signature constitutes a binding agreement between both parties.</w:t>
      </w:r>
    </w:p>
    <w:p>
      <w:pPr>
        <w:pStyle w:val="BodyText"/>
      </w:pPr>
      <w:r>
        <w:rPr>
          <w:bCs/>
          <w:b/>
        </w:rPr>
        <w:t xml:space="preserve">For and on behalf of the Client</w:t>
      </w:r>
      <w:r>
        <w:br/>
      </w:r>
      <w:r>
        <w:t xml:space="preserve">Name: ___________________________</w:t>
      </w:r>
      <w:r>
        <w:br/>
      </w:r>
      <w:r>
        <w:t xml:space="preserve">Designation: ___________________</w:t>
      </w:r>
      <w:r>
        <w:br/>
      </w:r>
      <w:r>
        <w:t xml:space="preserve">Date: ___________________________</w:t>
      </w:r>
      <w:r>
        <w:br/>
      </w:r>
      <w:r>
        <w:t xml:space="preserve">Organization: ___________________</w:t>
      </w:r>
    </w:p>
    <w:p>
      <w:pPr>
        <w:pStyle w:val="BodyText"/>
      </w:pPr>
      <w:r>
        <w:rPr>
          <w:bCs/>
          <w:b/>
        </w:rPr>
        <w:t xml:space="preserve">For Mumbai Biomedical Research Associates Pvt. Ltd.</w:t>
      </w:r>
      <w:r>
        <w:br/>
      </w:r>
      <w:r>
        <w:t xml:space="preserve">Name: Dr. Ananya Deshmukh</w:t>
      </w:r>
      <w:r>
        <w:br/>
      </w:r>
      <w:r>
        <w:t xml:space="preserve">Designation: Lead Consultant</w:t>
      </w:r>
      <w:r>
        <w:br/>
      </w:r>
      <w:r>
        <w:t xml:space="preserve">Date: 15 June 2025</w:t>
      </w:r>
      <w:r>
        <w:br/>
      </w:r>
      <w:r>
        <w:t xml:space="preserve">Location: India Mumbai</w:t>
      </w:r>
    </w:p>
    <w:p>
      <w:pPr>
        <w:pStyle w:val="BodyText"/>
      </w:pPr>
      <w:r>
        <w:t xml:space="preserve">This</w:t>
      </w:r>
      <w:r>
        <w:t xml:space="preserve"> </w:t>
      </w:r>
      <w:r>
        <w:t xml:space="preserve">Quotation Estimate</w:t>
      </w:r>
      <w:r>
        <w:t xml:space="preserve"> </w:t>
      </w:r>
      <w:r>
        <w:t xml:space="preserve">(Ref: QTE-MR-2025-0847) is the property of Mumbai Biomedical Research Associates Pvt. Ltd., India Mumbai. Unauthorized reproduction or distribution is strictly prohibited. For queries, contact: research@mbrapvt.in | +91-22-4567-8900 | Andheri East, Mumbai, Maharashtra 400069, India.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India Mumbai</dc:title>
  <dc:creator/>
  <dc:language>en</dc:language>
  <cp:keywords/>
  <dcterms:created xsi:type="dcterms:W3CDTF">2026-10-10T02:00:31Z</dcterms:created>
  <dcterms:modified xsi:type="dcterms:W3CDTF">2026-10-10T02:00:31Z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