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Prepared for Deployment in Indonesia Jakarta</w:t>
      </w:r>
    </w:p>
    <w:p>
      <w:pPr>
        <w:pStyle w:val="BodyText"/>
      </w:pPr>
      <w:r>
        <w:t xml:space="preserve">Document Reference: QE-MR-JKT-2025-0047</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IDR (Indonesian Rupiah)</w:t>
      </w:r>
    </w:p>
    <w:p>
      <w:pPr>
        <w:pStyle w:val="BodyText"/>
      </w:pPr>
      <w:r>
        <w:rPr>
          <w:bCs/>
          <w:b/>
        </w:rPr>
        <w:t xml:space="preserve">Page:</w:t>
      </w:r>
      <w:r>
        <w:t xml:space="preserve"> </w:t>
      </w:r>
      <w:r>
        <w:t xml:space="preserve">1 of 1</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MediResearch Asia Pacific Pty Ltd</w:t>
      </w:r>
    </w:p>
    <w:p>
      <w:pPr>
        <w:pStyle w:val="BodyText"/>
      </w:pPr>
      <w:r>
        <w:t xml:space="preserve">Unit 12, Level 5, Menara Sentral</w:t>
      </w:r>
    </w:p>
    <w:p>
      <w:pPr>
        <w:pStyle w:val="BodyText"/>
      </w:pPr>
      <w:r>
        <w:t xml:space="preserve">Jl. Jend. Sudirman Kav. 52-53</w:t>
      </w:r>
    </w:p>
    <w:p>
      <w:pPr>
        <w:pStyle w:val="BodyText"/>
      </w:pPr>
      <w:r>
        <w:t xml:space="preserve">Jakarta Selatan 12190, Indonesia</w:t>
      </w:r>
    </w:p>
    <w:p>
      <w:pPr>
        <w:pStyle w:val="BodyText"/>
      </w:pPr>
      <w:r>
        <w:t xml:space="preserve">Email: quotations@mediresearch-apac.com</w:t>
      </w:r>
    </w:p>
    <w:p>
      <w:pPr>
        <w:pStyle w:val="BodyText"/>
      </w:pPr>
      <w:r>
        <w:t xml:space="preserve">Tel: +62 21 5550 8890</w:t>
      </w:r>
    </w:p>
    <w:bookmarkEnd w:id="21"/>
    <w:bookmarkStart w:id="22" w:name="client-requesting-party"/>
    <w:p>
      <w:pPr>
        <w:pStyle w:val="Heading3"/>
      </w:pPr>
      <w:r>
        <w:t xml:space="preserve">Client / Requesting Party</w:t>
      </w:r>
    </w:p>
    <w:p>
      <w:pPr>
        <w:pStyle w:val="FirstParagraph"/>
      </w:pPr>
      <w:r>
        <w:rPr>
          <w:bCs/>
          <w:b/>
        </w:rPr>
        <w:t xml:space="preserve">PT Nusantara Biomedical Institute</w:t>
      </w:r>
    </w:p>
    <w:p>
      <w:pPr>
        <w:pStyle w:val="BodyText"/>
      </w:pPr>
      <w:r>
        <w:t xml:space="preserve">Building C, Research Park Indonesia</w:t>
      </w:r>
    </w:p>
    <w:p>
      <w:pPr>
        <w:pStyle w:val="BodyText"/>
      </w:pPr>
      <w:r>
        <w:t xml:space="preserve">Jl. Gatot Subroto Kav. 37</w:t>
      </w:r>
    </w:p>
    <w:p>
      <w:pPr>
        <w:pStyle w:val="BodyText"/>
      </w:pPr>
      <w:r>
        <w:t xml:space="preserve">Jakarta Pusat 10270, Indonesia</w:t>
      </w:r>
    </w:p>
    <w:p>
      <w:pPr>
        <w:pStyle w:val="BodyText"/>
      </w:pPr>
      <w:r>
        <w:t xml:space="preserve">Email: procurement@nusantabio.id</w:t>
      </w:r>
    </w:p>
    <w:p>
      <w:pPr>
        <w:pStyle w:val="BodyText"/>
      </w:pPr>
      <w:r>
        <w:t xml:space="preserve">Tel: +62 21 7500 3321</w:t>
      </w:r>
    </w:p>
    <w:bookmarkEnd w:id="22"/>
    <w:p>
      <w:pPr>
        <w:pStyle w:val="BodyText"/>
      </w:pPr>
      <w:r>
        <w:t xml:space="preserve">2. Scope of Work – Medical Researcher Engagement</w:t>
      </w:r>
    </w:p>
    <w:p>
      <w:pPr>
        <w:pStyle w:val="BodyText"/>
      </w:pPr>
      <w:r>
        <w:t xml:space="preserve">This</w:t>
      </w:r>
      <w:r>
        <w:t xml:space="preserve"> </w:t>
      </w:r>
      <w:r>
        <w:t xml:space="preserve">Quotation Estimate</w:t>
      </w:r>
      <w:r>
        <w:t xml:space="preserve"> </w:t>
      </w:r>
      <w:r>
        <w:t xml:space="preserve">is issued in response to the formal request from PT Nusantara Biomedical Institute for the engagement of a qualified</w:t>
      </w:r>
      <w:r>
        <w:t xml:space="preserve"> </w:t>
      </w:r>
      <w:r>
        <w:t xml:space="preserve">Medical Researcher</w:t>
      </w:r>
      <w:r>
        <w:t xml:space="preserve"> </w:t>
      </w:r>
      <w:r>
        <w:t xml:space="preserve">to conduct a twelve-month clinical and epidemiological study programme based in</w:t>
      </w:r>
      <w:r>
        <w:t xml:space="preserve"> </w:t>
      </w:r>
      <w:r>
        <w:t xml:space="preserve">Indonesia Jakarta</w:t>
      </w:r>
      <w:r>
        <w:t xml:space="preserve">. The scope encompasses the following deliverables and responsibilities:</w:t>
      </w:r>
    </w:p>
    <w:p>
      <w:pPr>
        <w:numPr>
          <w:ilvl w:val="0"/>
          <w:numId w:val="1001"/>
        </w:numPr>
        <w:pStyle w:val="Compact"/>
      </w:pPr>
      <w:r>
        <w:t xml:space="preserve">Design and execution of a multi-site clinical trial protocol focused on tropical infectious disease markers, conducted across three partner hospitals in the Indonesia Jakarta metropolitan area.</w:t>
      </w:r>
    </w:p>
    <w:p>
      <w:pPr>
        <w:numPr>
          <w:ilvl w:val="0"/>
          <w:numId w:val="1001"/>
        </w:numPr>
        <w:pStyle w:val="Compact"/>
      </w:pPr>
      <w:r>
        <w:t xml:space="preserve">Recruitment, screening, and longitudinal follow-up of a minimum of 450 patient subjects in compliance with Indonesian Ministry of Health (Kemenkes) regulations and the National Research Ethics Committee (Komite Etik Nasional) guidelines.</w:t>
      </w:r>
    </w:p>
    <w:p>
      <w:pPr>
        <w:numPr>
          <w:ilvl w:val="0"/>
          <w:numId w:val="1001"/>
        </w:numPr>
        <w:pStyle w:val="Compact"/>
      </w:pPr>
      <w:r>
        <w:t xml:space="preserve">Collection, laboratory analysis, and statistical interpretation of biological samples (serum, tissue, and microbiological cultures) at accredited facilities in Indonesia Jakarta.</w:t>
      </w:r>
    </w:p>
    <w:p>
      <w:pPr>
        <w:numPr>
          <w:ilvl w:val="0"/>
          <w:numId w:val="1001"/>
        </w:numPr>
        <w:pStyle w:val="Compact"/>
      </w:pPr>
      <w:r>
        <w:t xml:space="preserve">Preparation of interim and final research reports, including peer-reviewed manuscript drafts suitable for submission to indexed biomedical journals.</w:t>
      </w:r>
    </w:p>
    <w:p>
      <w:pPr>
        <w:numPr>
          <w:ilvl w:val="0"/>
          <w:numId w:val="1001"/>
        </w:numPr>
        <w:pStyle w:val="Compact"/>
      </w:pPr>
      <w:r>
        <w:t xml:space="preserve">Monthly progress reporting to the Client, including data integrity audits, adverse event documentation, and regulatory compliance updates specific to the Indonesia Jakarta jurisdiction.</w:t>
      </w:r>
    </w:p>
    <w:p>
      <w:pPr>
        <w:numPr>
          <w:ilvl w:val="0"/>
          <w:numId w:val="1001"/>
        </w:numPr>
        <w:pStyle w:val="Compact"/>
      </w:pPr>
      <w:r>
        <w:t xml:space="preserve">Supervision and training of two (2) junior research assistants and one (1) laboratory technician assigned to the project team in Indonesia Jakarta.</w:t>
      </w:r>
    </w:p>
    <w:p>
      <w:pPr>
        <w:pStyle w:val="FirstParagraph"/>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Duration</w:t>
            </w:r>
          </w:p>
        </w:tc>
        <w:tc>
          <w:tcPr/>
          <w:p>
            <w:pPr>
              <w:pStyle w:val="Compact"/>
              <w:jc w:val="left"/>
            </w:pPr>
            <w:r>
              <w:t xml:space="preserve">Unit Rate (IDR)</w:t>
            </w:r>
          </w:p>
        </w:tc>
        <w:tc>
          <w:tcPr/>
          <w:p>
            <w:pPr>
              <w:pStyle w:val="Compact"/>
              <w:jc w:val="left"/>
            </w:pPr>
            <w:r>
              <w:t xml:space="preserve">Quantity</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Senior Medical Researcher – Monthly Professional Fee (PhD, Board-Certified, 10+ years clinical research experience)</w:t>
            </w:r>
          </w:p>
        </w:tc>
        <w:tc>
          <w:tcPr/>
          <w:p>
            <w:pPr>
              <w:pStyle w:val="Compact"/>
              <w:jc w:val="left"/>
            </w:pPr>
            <w:r>
              <w:t xml:space="preserve">12 months</w:t>
            </w:r>
          </w:p>
        </w:tc>
        <w:tc>
          <w:tcPr/>
          <w:p>
            <w:pPr>
              <w:pStyle w:val="Compact"/>
              <w:jc w:val="left"/>
            </w:pPr>
            <w:r>
              <w:t xml:space="preserve">85,000,000</w:t>
            </w:r>
          </w:p>
        </w:tc>
        <w:tc>
          <w:tcPr/>
          <w:p>
            <w:pPr>
              <w:pStyle w:val="Compact"/>
              <w:jc w:val="left"/>
            </w:pPr>
            <w:r>
              <w:t xml:space="preserve">12</w:t>
            </w:r>
          </w:p>
        </w:tc>
        <w:tc>
          <w:tcPr/>
          <w:p>
            <w:pPr>
              <w:pStyle w:val="Compact"/>
              <w:jc w:val="left"/>
            </w:pPr>
            <w:r>
              <w:t xml:space="preserve">1,020,000,000</w:t>
            </w:r>
          </w:p>
        </w:tc>
      </w:tr>
      <w:tr>
        <w:tc>
          <w:tcPr/>
          <w:p>
            <w:pPr>
              <w:pStyle w:val="Compact"/>
              <w:jc w:val="left"/>
            </w:pPr>
            <w:r>
              <w:t xml:space="preserve">2</w:t>
            </w:r>
          </w:p>
        </w:tc>
        <w:tc>
          <w:tcPr/>
          <w:p>
            <w:pPr>
              <w:pStyle w:val="Compact"/>
              <w:jc w:val="left"/>
            </w:pPr>
            <w:r>
              <w:t xml:space="preserve">Junior Research Assistants – Monthly Stipend (2 personnel)</w:t>
            </w:r>
          </w:p>
        </w:tc>
        <w:tc>
          <w:tcPr/>
          <w:p>
            <w:pPr>
              <w:pStyle w:val="Compact"/>
              <w:jc w:val="left"/>
            </w:pPr>
            <w:r>
              <w:t xml:space="preserve">12 months</w:t>
            </w:r>
          </w:p>
        </w:tc>
        <w:tc>
          <w:tcPr/>
          <w:p>
            <w:pPr>
              <w:pStyle w:val="Compact"/>
              <w:jc w:val="left"/>
            </w:pPr>
            <w:r>
              <w:t xml:space="preserve">18,000,000</w:t>
            </w:r>
          </w:p>
        </w:tc>
        <w:tc>
          <w:tcPr/>
          <w:p>
            <w:pPr>
              <w:pStyle w:val="Compact"/>
              <w:jc w:val="left"/>
            </w:pPr>
            <w:r>
              <w:t xml:space="preserve">24</w:t>
            </w:r>
          </w:p>
        </w:tc>
        <w:tc>
          <w:tcPr/>
          <w:p>
            <w:pPr>
              <w:pStyle w:val="Compact"/>
              <w:jc w:val="left"/>
            </w:pPr>
            <w:r>
              <w:t xml:space="preserve">432,000,000</w:t>
            </w:r>
          </w:p>
        </w:tc>
      </w:tr>
      <w:tr>
        <w:tc>
          <w:tcPr/>
          <w:p>
            <w:pPr>
              <w:pStyle w:val="Compact"/>
              <w:jc w:val="left"/>
            </w:pPr>
            <w:r>
              <w:t xml:space="preserve">3</w:t>
            </w:r>
          </w:p>
        </w:tc>
        <w:tc>
          <w:tcPr/>
          <w:p>
            <w:pPr>
              <w:pStyle w:val="Compact"/>
              <w:jc w:val="left"/>
            </w:pPr>
            <w:r>
              <w:t xml:space="preserve">Laboratory Technician – Monthly Stipend (1 personnel)</w:t>
            </w:r>
          </w:p>
        </w:tc>
        <w:tc>
          <w:tcPr/>
          <w:p>
            <w:pPr>
              <w:pStyle w:val="Compact"/>
              <w:jc w:val="left"/>
            </w:pPr>
            <w:r>
              <w:t xml:space="preserve">12 months</w:t>
            </w:r>
          </w:p>
        </w:tc>
        <w:tc>
          <w:tcPr/>
          <w:p>
            <w:pPr>
              <w:pStyle w:val="Compact"/>
              <w:jc w:val="left"/>
            </w:pPr>
            <w:r>
              <w:t xml:space="preserve">14,000,000</w:t>
            </w:r>
          </w:p>
        </w:tc>
        <w:tc>
          <w:tcPr/>
          <w:p>
            <w:pPr>
              <w:pStyle w:val="Compact"/>
              <w:jc w:val="left"/>
            </w:pPr>
            <w:r>
              <w:t xml:space="preserve">12</w:t>
            </w:r>
          </w:p>
        </w:tc>
        <w:tc>
          <w:tcPr/>
          <w:p>
            <w:pPr>
              <w:pStyle w:val="Compact"/>
              <w:jc w:val="left"/>
            </w:pPr>
            <w:r>
              <w:t xml:space="preserve">168,000,000</w:t>
            </w:r>
          </w:p>
        </w:tc>
      </w:tr>
      <w:tr>
        <w:tc>
          <w:tcPr/>
          <w:p>
            <w:pPr>
              <w:pStyle w:val="Compact"/>
              <w:jc w:val="left"/>
            </w:pPr>
            <w:r>
              <w:t xml:space="preserve">4</w:t>
            </w:r>
          </w:p>
        </w:tc>
        <w:tc>
          <w:tcPr/>
          <w:p>
            <w:pPr>
              <w:pStyle w:val="Compact"/>
              <w:jc w:val="left"/>
            </w:pPr>
            <w:r>
              <w:t xml:space="preserve">Clinical Trial Registration &amp; Ethics Committee Fees (Indonesia Jakarta – Kemenkes &amp; Komite Etik Nasional)</w:t>
            </w:r>
          </w:p>
        </w:tc>
        <w:tc>
          <w:tcPr/>
          <w:p>
            <w:pPr>
              <w:pStyle w:val="Compact"/>
              <w:jc w:val="left"/>
            </w:pPr>
            <w:r>
              <w:t xml:space="preserve">One-time</w:t>
            </w:r>
          </w:p>
        </w:tc>
        <w:tc>
          <w:tcPr/>
          <w:p>
            <w:pPr>
              <w:pStyle w:val="Compact"/>
              <w:jc w:val="left"/>
            </w:pPr>
            <w:r>
              <w:t xml:space="preserve">45,000,000</w:t>
            </w:r>
          </w:p>
        </w:tc>
        <w:tc>
          <w:tcPr/>
          <w:p>
            <w:pPr>
              <w:pStyle w:val="Compact"/>
              <w:jc w:val="left"/>
            </w:pPr>
            <w:r>
              <w:t xml:space="preserve">1</w:t>
            </w:r>
          </w:p>
        </w:tc>
        <w:tc>
          <w:tcPr/>
          <w:p>
            <w:pPr>
              <w:pStyle w:val="Compact"/>
              <w:jc w:val="left"/>
            </w:pPr>
            <w:r>
              <w:t xml:space="preserve">45,000,000</w:t>
            </w:r>
          </w:p>
        </w:tc>
      </w:tr>
      <w:tr>
        <w:tc>
          <w:tcPr/>
          <w:p>
            <w:pPr>
              <w:pStyle w:val="Compact"/>
              <w:jc w:val="left"/>
            </w:pPr>
            <w:r>
              <w:t xml:space="preserve">5</w:t>
            </w:r>
          </w:p>
        </w:tc>
        <w:tc>
          <w:tcPr/>
          <w:p>
            <w:pPr>
              <w:pStyle w:val="Compact"/>
              <w:jc w:val="left"/>
            </w:pPr>
            <w:r>
              <w:t xml:space="preserve">Laboratory Consumables, Reagents &amp; Sample Processing (per month, Indonesia Jakarta partner labs)</w:t>
            </w:r>
          </w:p>
        </w:tc>
        <w:tc>
          <w:tcPr/>
          <w:p>
            <w:pPr>
              <w:pStyle w:val="Compact"/>
              <w:jc w:val="left"/>
            </w:pPr>
            <w:r>
              <w:t xml:space="preserve">12 months</w:t>
            </w:r>
          </w:p>
        </w:tc>
        <w:tc>
          <w:tcPr/>
          <w:p>
            <w:pPr>
              <w:pStyle w:val="Compact"/>
              <w:jc w:val="left"/>
            </w:pPr>
            <w:r>
              <w:t xml:space="preserve">32,000,000</w:t>
            </w:r>
          </w:p>
        </w:tc>
        <w:tc>
          <w:tcPr/>
          <w:p>
            <w:pPr>
              <w:pStyle w:val="Compact"/>
              <w:jc w:val="left"/>
            </w:pPr>
            <w:r>
              <w:t xml:space="preserve">12</w:t>
            </w:r>
          </w:p>
        </w:tc>
        <w:tc>
          <w:tcPr/>
          <w:p>
            <w:pPr>
              <w:pStyle w:val="Compact"/>
              <w:jc w:val="left"/>
            </w:pPr>
            <w:r>
              <w:t xml:space="preserve">384,000,000</w:t>
            </w:r>
          </w:p>
        </w:tc>
      </w:tr>
      <w:tr>
        <w:tc>
          <w:tcPr/>
          <w:p>
            <w:pPr>
              <w:pStyle w:val="Compact"/>
              <w:jc w:val="left"/>
            </w:pPr>
            <w:r>
              <w:t xml:space="preserve">6</w:t>
            </w:r>
          </w:p>
        </w:tc>
        <w:tc>
          <w:tcPr/>
          <w:p>
            <w:pPr>
              <w:pStyle w:val="Compact"/>
              <w:jc w:val="left"/>
            </w:pPr>
            <w:r>
              <w:t xml:space="preserve">Patient Subject Compensation &amp; Transport Allowance (450 subjects)</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450</w:t>
            </w:r>
          </w:p>
        </w:tc>
        <w:tc>
          <w:tcPr/>
          <w:p>
            <w:pPr>
              <w:pStyle w:val="Compact"/>
              <w:jc w:val="left"/>
            </w:pPr>
            <w:r>
              <w:t xml:space="preserve">540,000,000</w:t>
            </w:r>
          </w:p>
        </w:tc>
      </w:tr>
      <w:tr>
        <w:tc>
          <w:tcPr/>
          <w:p>
            <w:pPr>
              <w:pStyle w:val="Compact"/>
              <w:jc w:val="left"/>
            </w:pPr>
            <w:r>
              <w:t xml:space="preserve">7</w:t>
            </w:r>
          </w:p>
        </w:tc>
        <w:tc>
          <w:tcPr/>
          <w:p>
            <w:pPr>
              <w:pStyle w:val="Compact"/>
              <w:jc w:val="left"/>
            </w:pPr>
            <w:r>
              <w:t xml:space="preserve">Statistical Software Licence &amp; Data Management Platform (annual)</w:t>
            </w:r>
          </w:p>
        </w:tc>
        <w:tc>
          <w:tcPr/>
          <w:p>
            <w:pPr>
              <w:pStyle w:val="Compact"/>
              <w:jc w:val="left"/>
            </w:pPr>
            <w:r>
              <w:t xml:space="preserve">12 months</w:t>
            </w:r>
          </w:p>
        </w:tc>
        <w:tc>
          <w:tcPr/>
          <w:p>
            <w:pPr>
              <w:pStyle w:val="Compact"/>
              <w:jc w:val="left"/>
            </w:pPr>
            <w:r>
              <w:t xml:space="preserve">28,000,000</w:t>
            </w:r>
          </w:p>
        </w:tc>
        <w:tc>
          <w:tcPr/>
          <w:p>
            <w:pPr>
              <w:pStyle w:val="Compact"/>
              <w:jc w:val="left"/>
            </w:pPr>
            <w:r>
              <w:t xml:space="preserve">1</w:t>
            </w:r>
          </w:p>
        </w:tc>
        <w:tc>
          <w:tcPr/>
          <w:p>
            <w:pPr>
              <w:pStyle w:val="Compact"/>
              <w:jc w:val="left"/>
            </w:pPr>
            <w:r>
              <w:t xml:space="preserve">28,000,000</w:t>
            </w:r>
          </w:p>
        </w:tc>
      </w:tr>
      <w:tr>
        <w:tc>
          <w:tcPr/>
          <w:p>
            <w:pPr>
              <w:pStyle w:val="Compact"/>
              <w:jc w:val="left"/>
            </w:pPr>
            <w:r>
              <w:t xml:space="preserve">8</w:t>
            </w:r>
          </w:p>
        </w:tc>
        <w:tc>
          <w:tcPr/>
          <w:p>
            <w:pPr>
              <w:pStyle w:val="Compact"/>
              <w:jc w:val="left"/>
            </w:pPr>
            <w:r>
              <w:t xml:space="preserve">Office &amp; Fieldwork Logistics in Indonesia Jakarta (transport, accommodation for site visits, communication)</w:t>
            </w:r>
          </w:p>
        </w:tc>
        <w:tc>
          <w:tcPr/>
          <w:p>
            <w:pPr>
              <w:pStyle w:val="Compact"/>
              <w:jc w:val="left"/>
            </w:pPr>
            <w:r>
              <w:t xml:space="preserve">12 months</w:t>
            </w:r>
          </w:p>
        </w:tc>
        <w:tc>
          <w:tcPr/>
          <w:p>
            <w:pPr>
              <w:pStyle w:val="Compact"/>
              <w:jc w:val="left"/>
            </w:pPr>
            <w:r>
              <w:t xml:space="preserve">15,000,000</w:t>
            </w:r>
          </w:p>
        </w:tc>
        <w:tc>
          <w:tcPr/>
          <w:p>
            <w:pPr>
              <w:pStyle w:val="Compact"/>
              <w:jc w:val="left"/>
            </w:pPr>
            <w:r>
              <w:t xml:space="preserve">12</w:t>
            </w:r>
          </w:p>
        </w:tc>
        <w:tc>
          <w:tcPr/>
          <w:p>
            <w:pPr>
              <w:pStyle w:val="Compact"/>
              <w:jc w:val="left"/>
            </w:pPr>
            <w:r>
              <w:t xml:space="preserve">180,000,000</w:t>
            </w:r>
          </w:p>
        </w:tc>
      </w:tr>
      <w:tr>
        <w:tc>
          <w:tcPr/>
          <w:p>
            <w:pPr>
              <w:pStyle w:val="Compact"/>
              <w:jc w:val="left"/>
            </w:pPr>
            <w:r>
              <w:t xml:space="preserve">9</w:t>
            </w:r>
          </w:p>
        </w:tc>
        <w:tc>
          <w:tcPr/>
          <w:p>
            <w:pPr>
              <w:pStyle w:val="Compact"/>
              <w:jc w:val="left"/>
            </w:pPr>
            <w:r>
              <w:t xml:space="preserve">Publication, Peer-Review &amp; Conference Presentation Costs</w:t>
            </w:r>
          </w:p>
        </w:tc>
        <w:tc>
          <w:tcPr/>
          <w:p>
            <w:pPr>
              <w:pStyle w:val="Compact"/>
              <w:jc w:val="left"/>
            </w:pPr>
            <w:r>
              <w:t xml:space="preserve">One-time</w:t>
            </w:r>
          </w:p>
        </w:tc>
        <w:tc>
          <w:tcPr/>
          <w:p>
            <w:pPr>
              <w:pStyle w:val="Compact"/>
              <w:jc w:val="left"/>
            </w:pPr>
            <w:r>
              <w:t xml:space="preserve">35,000,000</w:t>
            </w:r>
          </w:p>
        </w:tc>
        <w:tc>
          <w:tcPr/>
          <w:p>
            <w:pPr>
              <w:pStyle w:val="Compact"/>
              <w:jc w:val="left"/>
            </w:pPr>
            <w:r>
              <w:t xml:space="preserve">1</w:t>
            </w:r>
          </w:p>
        </w:tc>
        <w:tc>
          <w:tcPr/>
          <w:p>
            <w:pPr>
              <w:pStyle w:val="Compact"/>
              <w:jc w:val="left"/>
            </w:pPr>
            <w:r>
              <w:t xml:space="preserve">35,000,000</w:t>
            </w:r>
          </w:p>
        </w:tc>
      </w:tr>
      <w:tr>
        <w:tc>
          <w:tcPr/>
          <w:p>
            <w:pPr>
              <w:pStyle w:val="Compact"/>
              <w:jc w:val="left"/>
            </w:pPr>
            <w:r>
              <w:t xml:space="preserve">10</w:t>
            </w:r>
          </w:p>
        </w:tc>
        <w:tc>
          <w:tcPr/>
          <w:p>
            <w:pPr>
              <w:pStyle w:val="Compact"/>
              <w:jc w:val="left"/>
            </w:pPr>
            <w:r>
              <w:t xml:space="preserve">Project Management, Quality Assurance &amp; Regulatory Compliance Oversight</w:t>
            </w:r>
          </w:p>
        </w:tc>
        <w:tc>
          <w:tcPr/>
          <w:p>
            <w:pPr>
              <w:pStyle w:val="Compact"/>
              <w:jc w:val="left"/>
            </w:pPr>
            <w:r>
              <w:t xml:space="preserve">12 months</w:t>
            </w:r>
          </w:p>
        </w:tc>
        <w:tc>
          <w:tcPr/>
          <w:p>
            <w:pPr>
              <w:pStyle w:val="Compact"/>
              <w:jc w:val="left"/>
            </w:pPr>
            <w:r>
              <w:t xml:space="preserve">22,000,000</w:t>
            </w:r>
          </w:p>
        </w:tc>
        <w:tc>
          <w:tcPr/>
          <w:p>
            <w:pPr>
              <w:pStyle w:val="Compact"/>
              <w:jc w:val="left"/>
            </w:pPr>
            <w:r>
              <w:t xml:space="preserve">12</w:t>
            </w:r>
          </w:p>
        </w:tc>
        <w:tc>
          <w:tcPr/>
          <w:p>
            <w:pPr>
              <w:pStyle w:val="Compact"/>
              <w:jc w:val="left"/>
            </w:pPr>
            <w:r>
              <w:t xml:space="preserve">264,000,000</w:t>
            </w:r>
          </w:p>
        </w:tc>
      </w:tr>
      <w:tr>
        <w:tc>
          <w:tcPr>
            <w:gridSpan w:val="5"/>
          </w:tcPr>
          <w:p>
            <w:pPr>
              <w:pStyle w:val="Compact"/>
              <w:jc w:val="right"/>
            </w:pPr>
            <w:r>
              <w:t xml:space="preserve">Subtotal (IDR)</w:t>
            </w:r>
          </w:p>
        </w:tc>
        <w:tc>
          <w:tcPr/>
          <w:p>
            <w:pPr>
              <w:pStyle w:val="Compact"/>
              <w:jc w:val="left"/>
            </w:pPr>
            <w:r>
              <w:t xml:space="preserve">3,096,000,000</w:t>
            </w:r>
          </w:p>
        </w:tc>
      </w:tr>
      <w:tr>
        <w:tc>
          <w:tcPr>
            <w:gridSpan w:val="5"/>
          </w:tcPr>
          <w:p>
            <w:pPr>
              <w:pStyle w:val="Compact"/>
              <w:jc w:val="right"/>
            </w:pPr>
            <w:r>
              <w:t xml:space="preserve">VAT (PPN) 11% – Indonesia Jakarta</w:t>
            </w:r>
          </w:p>
        </w:tc>
        <w:tc>
          <w:tcPr/>
          <w:p>
            <w:pPr>
              <w:pStyle w:val="Compact"/>
              <w:jc w:val="left"/>
            </w:pPr>
            <w:r>
              <w:t xml:space="preserve">340,560,000</w:t>
            </w:r>
          </w:p>
        </w:tc>
      </w:tr>
      <w:tr>
        <w:tc>
          <w:tcPr>
            <w:gridSpan w:val="5"/>
          </w:tcPr>
          <w:p>
            <w:pPr>
              <w:pStyle w:val="Compact"/>
              <w:jc w:val="right"/>
            </w:pPr>
            <w:r>
              <w:t xml:space="preserve">TOTAL ESTIMATED COST (IDR)</w:t>
            </w:r>
          </w:p>
        </w:tc>
        <w:tc>
          <w:tcPr/>
          <w:p>
            <w:pPr>
              <w:pStyle w:val="Compact"/>
              <w:jc w:val="left"/>
            </w:pPr>
            <w:r>
              <w:t xml:space="preserve">3,436,560,000</w:t>
            </w:r>
          </w:p>
        </w:tc>
      </w:tr>
    </w:tbl>
    <w:p>
      <w:pPr>
        <w:pStyle w:val="BodyText"/>
      </w:pPr>
      <w:r>
        <w:t xml:space="preserve">* All amounts are quoted in Indonesian Rupiah (IDR). The total estimated cost of this Quotation Estimate for the Medical Researcher engagement in Indonesia Jakarta is</w:t>
      </w:r>
      <w:r>
        <w:t xml:space="preserve"> </w:t>
      </w:r>
      <w:r>
        <w:rPr>
          <w:bCs/>
          <w:b/>
        </w:rPr>
        <w:t xml:space="preserve">IDR 3,436,560,000</w:t>
      </w:r>
      <w:r>
        <w:t xml:space="preserve"> </w:t>
      </w:r>
      <w:r>
        <w:t xml:space="preserve">(Three Billion Four Hundred Thirty-Six Million Five Hundred Sixty Thousand Indonesian Rupiah), inclusive of 11% Value Added Tax (PPN) as applicable in Indonesia Jakarta.</w:t>
      </w:r>
    </w:p>
    <w:p>
      <w:pPr>
        <w:pStyle w:val="BodyText"/>
      </w:pPr>
      <w:r>
        <w:t xml:space="preserve">4. Payment Terms</w:t>
      </w:r>
    </w:p>
    <w:p>
      <w:pPr>
        <w:numPr>
          <w:ilvl w:val="0"/>
          <w:numId w:val="1002"/>
        </w:numPr>
        <w:pStyle w:val="Compact"/>
      </w:pPr>
      <w:r>
        <w:rPr>
          <w:bCs/>
          <w:b/>
        </w:rPr>
        <w:t xml:space="preserve">30% Advance Payment:</w:t>
      </w:r>
      <w:r>
        <w:t xml:space="preserve"> </w:t>
      </w:r>
      <w:r>
        <w:t xml:space="preserve">Due within fourteen (14) calendar days of signed acceptance of this Quotation Estimate, prior to commencement of the Medical Researcher's onboarding in Indonesia Jakarta.</w:t>
      </w:r>
    </w:p>
    <w:p>
      <w:pPr>
        <w:numPr>
          <w:ilvl w:val="0"/>
          <w:numId w:val="1002"/>
        </w:numPr>
        <w:pStyle w:val="Compact"/>
      </w:pPr>
      <w:r>
        <w:rPr>
          <w:bCs/>
          <w:b/>
        </w:rPr>
        <w:t xml:space="preserve">40% Milestone Payment:</w:t>
      </w:r>
      <w:r>
        <w:t xml:space="preserve"> </w:t>
      </w:r>
      <w:r>
        <w:t xml:space="preserve">Payable upon completion of the six-month interim report and successful ethics review checkpoint in Indonesia Jakarta.</w:t>
      </w:r>
    </w:p>
    <w:p>
      <w:pPr>
        <w:numPr>
          <w:ilvl w:val="0"/>
          <w:numId w:val="1002"/>
        </w:numPr>
        <w:pStyle w:val="Compact"/>
      </w:pPr>
      <w:r>
        <w:rPr>
          <w:bCs/>
          <w:b/>
        </w:rPr>
        <w:t xml:space="preserve">30% Final Payment:</w:t>
      </w:r>
      <w:r>
        <w:t xml:space="preserve"> </w:t>
      </w:r>
      <w:r>
        <w:t xml:space="preserve">Payable within thirty (30) days of delivery of the final research report, all raw data sets, and publication manuscripts.</w:t>
      </w:r>
    </w:p>
    <w:p>
      <w:pPr>
        <w:numPr>
          <w:ilvl w:val="0"/>
          <w:numId w:val="1002"/>
        </w:numPr>
        <w:pStyle w:val="Compact"/>
      </w:pPr>
      <w:r>
        <w:t xml:space="preserve">All payments shall be made via bank transfer to the Service Provider's designated account in Indonesia Jakarta. Late payments shall accrue interest at 1.5% per month.</w:t>
      </w:r>
    </w:p>
    <w:p>
      <w:pPr>
        <w:pStyle w:val="FirstParagraph"/>
      </w:pPr>
      <w:r>
        <w:t xml:space="preserve">5. Terms and Conditions</w:t>
      </w:r>
    </w:p>
    <w:p>
      <w:pPr>
        <w:numPr>
          <w:ilvl w:val="0"/>
          <w:numId w:val="1003"/>
        </w:numPr>
        <w:pStyle w:val="Compact"/>
      </w:pPr>
      <w:r>
        <w:t xml:space="preserve">This Quotation Estimate is valid for thirty (30) days from the date of issue. After the expiry date, all rates and availability of the Medical Researcher must be reconfirmed in writing.</w:t>
      </w:r>
    </w:p>
    <w:p>
      <w:pPr>
        <w:numPr>
          <w:ilvl w:val="0"/>
          <w:numId w:val="1003"/>
        </w:numPr>
        <w:pStyle w:val="Compact"/>
      </w:pPr>
      <w:r>
        <w:t xml:space="preserve">The Medical Researcher shall comply with all applicable laws, regulations, and ethical standards governing biomedical research in Indonesia Jakarta, including but not limited to the Indonesian Health Research Law (UU No. 17/2023) and GCP (Good Clinical Practice) guidelines.</w:t>
      </w:r>
    </w:p>
    <w:p>
      <w:pPr>
        <w:numPr>
          <w:ilvl w:val="0"/>
          <w:numId w:val="1003"/>
        </w:numPr>
        <w:pStyle w:val="Compact"/>
      </w:pPr>
      <w:r>
        <w:t xml:space="preserve">All intellectual property, data, and publications arising from this engagement shall be jointly owned by the Service Provider and the Client, as stipulated in the separate Master Service Agreement.</w:t>
      </w:r>
    </w:p>
    <w:p>
      <w:pPr>
        <w:numPr>
          <w:ilvl w:val="0"/>
          <w:numId w:val="1003"/>
        </w:numPr>
        <w:pStyle w:val="Compact"/>
      </w:pPr>
      <w:r>
        <w:t xml:space="preserve">The Service Provider reserves the right to substitute the assigned Medical Researcher with a professional of equivalent or superior qualifications, subject to prior written approval by the Client.</w:t>
      </w:r>
    </w:p>
    <w:p>
      <w:pPr>
        <w:numPr>
          <w:ilvl w:val="0"/>
          <w:numId w:val="1003"/>
        </w:numPr>
        <w:pStyle w:val="Compact"/>
      </w:pPr>
      <w:r>
        <w:t xml:space="preserve">Force majeure events, including but not limited to natural disasters, government-mandated lockdowns in Indonesia Jakarta, or pandemics, shall suspend obligations without penalty for either party.</w:t>
      </w:r>
    </w:p>
    <w:p>
      <w:pPr>
        <w:numPr>
          <w:ilvl w:val="0"/>
          <w:numId w:val="1003"/>
        </w:numPr>
        <w:pStyle w:val="Compact"/>
      </w:pPr>
      <w:r>
        <w:t xml:space="preserve">Disputes arising from this Quotation Estimate shall be resolved through arbitration in Indonesia Jakarta in accordance with the rules of the Indonesian National Board of Arbitration (BANI).</w:t>
      </w:r>
    </w:p>
    <w:p>
      <w:pPr>
        <w:numPr>
          <w:ilvl w:val="0"/>
          <w:numId w:val="1003"/>
        </w:numPr>
        <w:pStyle w:val="Compact"/>
      </w:pPr>
      <w:r>
        <w:t xml:space="preserve">This Quotation Estimate does not constitute a binding contract until both parties have executed the formal Service Agreement incorporating these terms.</w:t>
      </w:r>
    </w:p>
    <w:p>
      <w:pPr>
        <w:pStyle w:val="FirstParagraph"/>
      </w:pPr>
      <w:r>
        <w:rPr>
          <w:bCs/>
          <w:b/>
        </w:rPr>
        <w:t xml:space="preserve">Note:</w:t>
      </w:r>
      <w:r>
        <w:t xml:space="preserve"> </w:t>
      </w:r>
      <w:r>
        <w:t xml:space="preserve">This Quotation Estimate for the Medical Researcher services in Indonesia Jakarta assumes standard working hours (Monday to Friday, 08:00–17:00 WIB). Any overtime, weekend fieldwork, or emergency clinical trial extensions will be billed separately at 1.5× the standard hourly rate. All laboratory work must be conducted at Kemenkes-accredited facilities within the Indonesia Jakarta metropolitan area.</w:t>
      </w:r>
    </w:p>
    <w:p>
      <w:pPr>
        <w:pStyle w:val="BodyText"/>
      </w:pPr>
      <w:r>
        <w:t xml:space="preserve">6. Acceptance and Authorisation</w:t>
      </w:r>
    </w:p>
    <w:p>
      <w:pPr>
        <w:pStyle w:val="BodyText"/>
      </w:pPr>
      <w:r>
        <w:t xml:space="preserve">By signing below, both parties acknowledge and accept the terms, scope, and costs outlined in this Quotation Estimate for the Medical Researcher engagement in Indonesia Jakarta.</w:t>
      </w:r>
    </w:p>
    <w:p>
      <w:pPr>
        <w:pStyle w:val="BodyText"/>
      </w:pPr>
      <w:r>
        <w:rPr>
          <w:bCs/>
          <w:b/>
        </w:rPr>
        <w:t xml:space="preserve">For the Service Provider</w:t>
      </w:r>
      <w:r>
        <w:br/>
      </w:r>
      <w:r>
        <w:t xml:space="preserve">MediResearch Asia Pacific Pty Ltd</w:t>
      </w:r>
      <w:r>
        <w:br/>
      </w:r>
      <w:r>
        <w:br/>
      </w:r>
      <w:r>
        <w:t xml:space="preserve">Name: Dr. Hendra Wijaya, MSc</w:t>
      </w:r>
      <w:r>
        <w:br/>
      </w:r>
      <w:r>
        <w:t xml:space="preserve">Title: Director of Research Operations</w:t>
      </w:r>
      <w:r>
        <w:br/>
      </w:r>
      <w:r>
        <w:t xml:space="preserve">Date: _______________</w:t>
      </w:r>
    </w:p>
    <w:p>
      <w:pPr>
        <w:pStyle w:val="BodyText"/>
      </w:pPr>
      <w:r>
        <w:rPr>
          <w:bCs/>
          <w:b/>
        </w:rPr>
        <w:t xml:space="preserve">For the Client</w:t>
      </w:r>
      <w:r>
        <w:br/>
      </w:r>
      <w:r>
        <w:t xml:space="preserve">PT Nusantara Biomedical Institute</w:t>
      </w:r>
      <w:r>
        <w:br/>
      </w:r>
      <w:r>
        <w:br/>
      </w:r>
      <w:r>
        <w:t xml:space="preserve">Name: _________________________</w:t>
      </w:r>
      <w:r>
        <w:br/>
      </w:r>
      <w:r>
        <w:t xml:space="preserve">Title: Head of Procurement &amp; Partnerships</w:t>
      </w:r>
      <w:r>
        <w:br/>
      </w:r>
      <w:r>
        <w:t xml:space="preserve">Date: _______________</w:t>
      </w:r>
    </w:p>
    <w:p>
      <w:pPr>
        <w:pStyle w:val="BodyText"/>
      </w:pPr>
      <w:r>
        <w:t xml:space="preserve">This Quotation Estimate (Ref: QE-MR-JKT-2025-0047) was prepared by MediResearch Asia Pacific Pty Ltd for the engagement of a Medical Researcher in Indonesia Jakarta. This document is confidential and intended solely for the named recipient. Unauthorised reproduction or distribution is prohibited. © 2025 MediResearch Asia Pacific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Indonesia Jakarta</dc:title>
  <dc:creator/>
  <dc:language>en</dc:language>
  <cp:keywords/>
  <dcterms:created xsi:type="dcterms:W3CDTF">2026-10-10T03:54:38Z</dcterms:created>
  <dcterms:modified xsi:type="dcterms:W3CDTF">2026-10-10T03:54:38Z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