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t xml:space="preserve">Professional Medical Researcher Services — Iran Tehran</w:t>
      </w:r>
    </w:p>
    <w:p>
      <w:pPr>
        <w:pStyle w:val="BodyText"/>
      </w:pPr>
      <w:r>
        <w:t xml:space="preserve">Document Reference No: QTE-IRN-TEH-2025-0472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June 15, 2025</w:t>
            </w:r>
          </w:p>
        </w:tc>
        <w:tc>
          <w:tcPr/>
          <w:p>
            <w:pPr>
              <w:pStyle w:val="Compact"/>
              <w:jc w:val="left"/>
            </w:pPr>
            <w:r>
              <w:t xml:space="preserve">Validity Period</w:t>
            </w:r>
          </w:p>
        </w:tc>
        <w:tc>
          <w:tcPr/>
          <w:p>
            <w:pPr>
              <w:pStyle w:val="Compact"/>
              <w:jc w:val="left"/>
            </w:pPr>
            <w:r>
              <w:t xml:space="preserve">30 Calendar Days</w:t>
            </w:r>
          </w:p>
        </w:tc>
      </w:tr>
      <w:tr>
        <w:tc>
          <w:tcPr/>
          <w:p>
            <w:pPr>
              <w:pStyle w:val="Compact"/>
              <w:jc w:val="left"/>
            </w:pPr>
            <w:r>
              <w:t xml:space="preserve">Prepared By</w:t>
            </w:r>
          </w:p>
        </w:tc>
        <w:tc>
          <w:tcPr/>
          <w:p>
            <w:pPr>
              <w:pStyle w:val="Compact"/>
              <w:jc w:val="left"/>
            </w:pPr>
            <w:r>
              <w:t xml:space="preserve">Dr. Alireza Mohammadi, Lead Consultant</w:t>
            </w:r>
          </w:p>
        </w:tc>
        <w:tc>
          <w:tcPr/>
          <w:p>
            <w:pPr>
              <w:pStyle w:val="Compact"/>
              <w:jc w:val="left"/>
            </w:pPr>
            <w:r>
              <w:t xml:space="preserve">Currency</w:t>
            </w:r>
          </w:p>
        </w:tc>
        <w:tc>
          <w:tcPr/>
          <w:p>
            <w:pPr>
              <w:pStyle w:val="Compact"/>
              <w:jc w:val="left"/>
            </w:pPr>
            <w:r>
              <w:t xml:space="preserve">USD (United States Dollar)</w:t>
            </w:r>
          </w:p>
        </w:tc>
      </w:tr>
      <w:tr>
        <w:tc>
          <w:tcPr/>
          <w:p>
            <w:pPr>
              <w:pStyle w:val="Compact"/>
              <w:jc w:val="left"/>
            </w:pPr>
            <w:r>
              <w:t xml:space="preserve">Client / Recipient</w:t>
            </w:r>
          </w:p>
        </w:tc>
        <w:tc>
          <w:tcPr/>
          <w:p>
            <w:pPr>
              <w:pStyle w:val="Compact"/>
              <w:jc w:val="left"/>
            </w:pPr>
            <w:r>
              <w:t xml:space="preserve">International Biomedical Research Consortium</w:t>
            </w:r>
          </w:p>
        </w:tc>
        <w:tc>
          <w:tcPr/>
          <w:p>
            <w:pPr>
              <w:pStyle w:val="Compact"/>
              <w:jc w:val="left"/>
            </w:pPr>
            <w:r>
              <w:t xml:space="preserve">Location of Service</w:t>
            </w:r>
          </w:p>
        </w:tc>
        <w:tc>
          <w:tcPr/>
          <w:p>
            <w:pPr>
              <w:pStyle w:val="Compact"/>
              <w:jc w:val="left"/>
            </w:pPr>
            <w:r>
              <w:t xml:space="preserve">Tehran, Iran</w:t>
            </w:r>
          </w:p>
        </w:tc>
      </w:tr>
      <w:tr>
        <w:tc>
          <w:tcPr/>
          <w:p>
            <w:pPr>
              <w:pStyle w:val="Compact"/>
              <w:jc w:val="left"/>
            </w:pPr>
            <w:r>
              <w:t xml:space="preserve">Project Title</w:t>
            </w:r>
          </w:p>
        </w:tc>
        <w:tc>
          <w:tcPr>
            <w:gridSpan w:val="3"/>
          </w:tcPr>
          <w:p>
            <w:pPr>
              <w:pStyle w:val="Compact"/>
              <w:jc w:val="left"/>
            </w:pPr>
            <w:r>
              <w:t xml:space="preserve">Engagement of a Senior Medical Researcher for Clinical and Pre-Clinical Study Design in Iran Tehran</w:t>
            </w:r>
          </w:p>
        </w:tc>
      </w:tr>
    </w:tbl>
    <w:bookmarkStart w:id="21" w:name="X464fae4901e24e396406b859e40901110878fec"/>
    <w:p>
      <w:pPr>
        <w:pStyle w:val="Heading2"/>
      </w:pPr>
      <w:r>
        <w:t xml:space="preserve">1. Scope of Work — Medical Researcher Engagement in Iran Tehran</w:t>
      </w:r>
    </w:p>
    <w:p>
      <w:pPr>
        <w:pStyle w:val="FirstParagraph"/>
      </w:pPr>
      <w:r>
        <w:t xml:space="preserve">This</w:t>
      </w:r>
      <w:r>
        <w:t xml:space="preserve"> </w:t>
      </w:r>
      <w:r>
        <w:t xml:space="preserve">Quotation Estimate</w:t>
      </w:r>
      <w:r>
        <w:t xml:space="preserve"> </w:t>
      </w:r>
      <w:r>
        <w:t xml:space="preserve">is issued in response to the formal request for the professional services of a qualified</w:t>
      </w:r>
      <w:r>
        <w:t xml:space="preserve"> </w:t>
      </w:r>
      <w:r>
        <w:t xml:space="preserve">Medical Researcher</w:t>
      </w:r>
      <w:r>
        <w:t xml:space="preserve"> </w:t>
      </w:r>
      <w:r>
        <w:t xml:space="preserve">to be deployed and operational within the metropolitan area of</w:t>
      </w:r>
      <w:r>
        <w:t xml:space="preserve"> </w:t>
      </w:r>
      <w:r>
        <w:t xml:space="preserve">Iran Tehran</w:t>
      </w:r>
      <w:r>
        <w:t xml:space="preserve">. The scope encompasses the full spectrum of research activities including but not limited to: protocol development for Phase I and Phase II clinical trials, pre-clinical laboratory investigations, biostatistical analysis, peer-reviewed manuscript preparation, and regulatory compliance coordination with the Iranian Food and Drug Administration (IFDA) based in Tehran.</w:t>
      </w:r>
    </w:p>
    <w:p>
      <w:pPr>
        <w:pStyle w:val="BodyText"/>
      </w:pPr>
      <w:r>
        <w:t xml:space="preserve">The</w:t>
      </w:r>
      <w:r>
        <w:t xml:space="preserve"> </w:t>
      </w:r>
      <w:r>
        <w:t xml:space="preserve">Medical Researcher</w:t>
      </w:r>
      <w:r>
        <w:t xml:space="preserve"> </w:t>
      </w:r>
      <w:r>
        <w:t xml:space="preserve">shall operate primarily from the designated research facility located in the Vanak district of Tehran, with periodic travel to affiliated hospitals and university laboratories across the Tehran metropolitan region, including but not limited to the campuses of Tehran University of Medical Sciences, Shahid Beheshti University of Medical Sciences, and the Pasteur Institute of Iran.</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Senior Medical Researcher — Monthly Professional Fee (includes protocol design, literature review, and study supervision in Iran Tehran)</w:t>
            </w:r>
          </w:p>
        </w:tc>
        <w:tc>
          <w:tcPr/>
          <w:p>
            <w:pPr>
              <w:pStyle w:val="Compact"/>
              <w:jc w:val="left"/>
            </w:pPr>
            <w:r>
              <w:t xml:space="preserve">6 Months</w:t>
            </w:r>
          </w:p>
        </w:tc>
        <w:tc>
          <w:tcPr/>
          <w:p>
            <w:pPr>
              <w:pStyle w:val="Compact"/>
              <w:jc w:val="left"/>
            </w:pPr>
            <w:r>
              <w:t xml:space="preserve">$8,500</w:t>
            </w:r>
          </w:p>
        </w:tc>
        <w:tc>
          <w:tcPr/>
          <w:p>
            <w:pPr>
              <w:pStyle w:val="Compact"/>
              <w:jc w:val="left"/>
            </w:pPr>
            <w:r>
              <w:t xml:space="preserve">$51,000</w:t>
            </w:r>
          </w:p>
        </w:tc>
      </w:tr>
      <w:tr>
        <w:tc>
          <w:tcPr/>
          <w:p>
            <w:pPr>
              <w:pStyle w:val="Compact"/>
              <w:jc w:val="left"/>
            </w:pPr>
            <w:r>
              <w:t xml:space="preserve">02</w:t>
            </w:r>
          </w:p>
        </w:tc>
        <w:tc>
          <w:tcPr/>
          <w:p>
            <w:pPr>
              <w:pStyle w:val="Compact"/>
              <w:jc w:val="left"/>
            </w:pPr>
            <w:r>
              <w:t xml:space="preserve">Pre-Clinical Laboratory Work — Cell culture, animal model studies, and molecular assays conducted at Tehran-based facilities</w:t>
            </w:r>
          </w:p>
        </w:tc>
        <w:tc>
          <w:tcPr/>
          <w:p>
            <w:pPr>
              <w:pStyle w:val="Compact"/>
              <w:jc w:val="left"/>
            </w:pPr>
            <w:r>
              <w:t xml:space="preserve">3 Months</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03</w:t>
            </w:r>
          </w:p>
        </w:tc>
        <w:tc>
          <w:tcPr/>
          <w:p>
            <w:pPr>
              <w:pStyle w:val="Compact"/>
              <w:jc w:val="left"/>
            </w:pPr>
            <w:r>
              <w:t xml:space="preserve">Clinical Trial Protocol Development &amp; IFDA Regulatory Filing (Iran Tehran jurisdiction)</w:t>
            </w:r>
          </w:p>
        </w:tc>
        <w:tc>
          <w:tcPr/>
          <w:p>
            <w:pPr>
              <w:pStyle w:val="Compact"/>
              <w:jc w:val="left"/>
            </w:pPr>
            <w:r>
              <w:t xml:space="preserve">1 Package</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04</w:t>
            </w:r>
          </w:p>
        </w:tc>
        <w:tc>
          <w:tcPr/>
          <w:p>
            <w:pPr>
              <w:pStyle w:val="Compact"/>
              <w:jc w:val="left"/>
            </w:pPr>
            <w:r>
              <w:t xml:space="preserve">Biostatistical Analysis &amp; Data Management (SPSS, R, SAS) for the full study cohort</w:t>
            </w:r>
          </w:p>
        </w:tc>
        <w:tc>
          <w:tcPr/>
          <w:p>
            <w:pPr>
              <w:pStyle w:val="Compact"/>
              <w:jc w:val="left"/>
            </w:pPr>
            <w:r>
              <w:t xml:space="preserve">2 Months</w:t>
            </w:r>
          </w:p>
        </w:tc>
        <w:tc>
          <w:tcPr/>
          <w:p>
            <w:pPr>
              <w:pStyle w:val="Compact"/>
              <w:jc w:val="left"/>
            </w:pPr>
            <w:r>
              <w:t xml:space="preserve">$5,200</w:t>
            </w:r>
          </w:p>
        </w:tc>
        <w:tc>
          <w:tcPr/>
          <w:p>
            <w:pPr>
              <w:pStyle w:val="Compact"/>
              <w:jc w:val="left"/>
            </w:pPr>
            <w:r>
              <w:t xml:space="preserve">$10,400</w:t>
            </w:r>
          </w:p>
        </w:tc>
      </w:tr>
      <w:tr>
        <w:tc>
          <w:tcPr/>
          <w:p>
            <w:pPr>
              <w:pStyle w:val="Compact"/>
              <w:jc w:val="left"/>
            </w:pPr>
            <w:r>
              <w:t xml:space="preserve">05</w:t>
            </w:r>
          </w:p>
        </w:tc>
        <w:tc>
          <w:tcPr/>
          <w:p>
            <w:pPr>
              <w:pStyle w:val="Compact"/>
              <w:jc w:val="left"/>
            </w:pPr>
            <w:r>
              <w:t xml:space="preserve">Manuscript Preparation, Peer-Review Coordination &amp; Journal Submission (targeting Q1/Q2 indexed journals)</w:t>
            </w:r>
          </w:p>
        </w:tc>
        <w:tc>
          <w:tcPr/>
          <w:p>
            <w:pPr>
              <w:pStyle w:val="Compact"/>
              <w:jc w:val="left"/>
            </w:pPr>
            <w:r>
              <w:t xml:space="preserve">2 Manuscripts</w:t>
            </w:r>
          </w:p>
        </w:tc>
        <w:tc>
          <w:tcPr/>
          <w:p>
            <w:pPr>
              <w:pStyle w:val="Compact"/>
              <w:jc w:val="left"/>
            </w:pPr>
            <w:r>
              <w:t xml:space="preserve">$3,800</w:t>
            </w:r>
          </w:p>
        </w:tc>
        <w:tc>
          <w:tcPr/>
          <w:p>
            <w:pPr>
              <w:pStyle w:val="Compact"/>
              <w:jc w:val="left"/>
            </w:pPr>
            <w:r>
              <w:t xml:space="preserve">$7,600</w:t>
            </w:r>
          </w:p>
        </w:tc>
      </w:tr>
      <w:tr>
        <w:tc>
          <w:tcPr/>
          <w:p>
            <w:pPr>
              <w:pStyle w:val="Compact"/>
              <w:jc w:val="left"/>
            </w:pPr>
            <w:r>
              <w:t xml:space="preserve">06</w:t>
            </w:r>
          </w:p>
        </w:tc>
        <w:tc>
          <w:tcPr/>
          <w:p>
            <w:pPr>
              <w:pStyle w:val="Compact"/>
              <w:jc w:val="left"/>
            </w:pPr>
            <w:r>
              <w:t xml:space="preserve">Travel, Accommodation &amp; Local Logistics within Iran Tehran (researcher relocation, site visits, conference attendance)</w:t>
            </w:r>
          </w:p>
        </w:tc>
        <w:tc>
          <w:tcPr/>
          <w:p>
            <w:pPr>
              <w:pStyle w:val="Compact"/>
              <w:jc w:val="left"/>
            </w:pPr>
            <w:r>
              <w:t xml:space="preserve">6 Months</w:t>
            </w:r>
          </w:p>
        </w:tc>
        <w:tc>
          <w:tcPr/>
          <w:p>
            <w:pPr>
              <w:pStyle w:val="Compact"/>
              <w:jc w:val="left"/>
            </w:pPr>
            <w:r>
              <w:t xml:space="preserve">$2,100</w:t>
            </w:r>
          </w:p>
        </w:tc>
        <w:tc>
          <w:tcPr/>
          <w:p>
            <w:pPr>
              <w:pStyle w:val="Compact"/>
              <w:jc w:val="left"/>
            </w:pPr>
            <w:r>
              <w:t xml:space="preserve">$12,600</w:t>
            </w:r>
          </w:p>
        </w:tc>
      </w:tr>
      <w:tr>
        <w:tc>
          <w:tcPr/>
          <w:p>
            <w:pPr>
              <w:pStyle w:val="Compact"/>
              <w:jc w:val="left"/>
            </w:pPr>
            <w:r>
              <w:t xml:space="preserve">07</w:t>
            </w:r>
          </w:p>
        </w:tc>
        <w:tc>
          <w:tcPr/>
          <w:p>
            <w:pPr>
              <w:pStyle w:val="Compact"/>
              <w:jc w:val="left"/>
            </w:pPr>
            <w:r>
              <w:t xml:space="preserve">Equipment &amp; Consumables (reagents, lab supplies, computational resources) sourced locally in Tehran</w:t>
            </w:r>
          </w:p>
        </w:tc>
        <w:tc>
          <w:tcPr/>
          <w:p>
            <w:pPr>
              <w:pStyle w:val="Compact"/>
              <w:jc w:val="left"/>
            </w:pPr>
            <w:r>
              <w:t xml:space="preserve">1 Package</w:t>
            </w:r>
          </w:p>
        </w:tc>
        <w:tc>
          <w:tcPr/>
          <w:p>
            <w:pPr>
              <w:pStyle w:val="Compact"/>
              <w:jc w:val="left"/>
            </w:pPr>
            <w:r>
              <w:t xml:space="preserve">$9,400</w:t>
            </w:r>
          </w:p>
        </w:tc>
        <w:tc>
          <w:tcPr/>
          <w:p>
            <w:pPr>
              <w:pStyle w:val="Compact"/>
              <w:jc w:val="left"/>
            </w:pPr>
            <w:r>
              <w:t xml:space="preserve">$9,400</w:t>
            </w:r>
          </w:p>
        </w:tc>
      </w:tr>
      <w:tr>
        <w:tc>
          <w:tcPr/>
          <w:p>
            <w:pPr>
              <w:pStyle w:val="Compact"/>
              <w:jc w:val="left"/>
            </w:pPr>
            <w:r>
              <w:t xml:space="preserve">08</w:t>
            </w:r>
          </w:p>
        </w:tc>
        <w:tc>
          <w:tcPr/>
          <w:p>
            <w:pPr>
              <w:pStyle w:val="Compact"/>
              <w:jc w:val="left"/>
            </w:pPr>
            <w:r>
              <w:t xml:space="preserve">Project Management, Reporting &amp; Quality Assurance Oversight</w:t>
            </w:r>
          </w:p>
        </w:tc>
        <w:tc>
          <w:tcPr/>
          <w:p>
            <w:pPr>
              <w:pStyle w:val="Compact"/>
              <w:jc w:val="left"/>
            </w:pPr>
            <w:r>
              <w:t xml:space="preserve">6 Months</w:t>
            </w:r>
          </w:p>
        </w:tc>
        <w:tc>
          <w:tcPr/>
          <w:p>
            <w:pPr>
              <w:pStyle w:val="Compact"/>
              <w:jc w:val="left"/>
            </w:pPr>
            <w:r>
              <w:t xml:space="preserve">$1,800</w:t>
            </w:r>
          </w:p>
        </w:tc>
        <w:tc>
          <w:tcPr/>
          <w:p>
            <w:pPr>
              <w:pStyle w:val="Compact"/>
              <w:jc w:val="left"/>
            </w:pPr>
            <w:r>
              <w:t xml:space="preserve">$10,800</w:t>
            </w:r>
          </w:p>
        </w:tc>
      </w:tr>
      <w:tr>
        <w:tc>
          <w:tcPr>
            <w:gridSpan w:val="4"/>
          </w:tcPr>
          <w:p>
            <w:pPr>
              <w:pStyle w:val="Compact"/>
              <w:jc w:val="right"/>
            </w:pPr>
            <w:r>
              <w:t xml:space="preserve">TOTAL ESTIMATED COST</w:t>
            </w:r>
          </w:p>
        </w:tc>
        <w:tc>
          <w:tcPr/>
          <w:p>
            <w:pPr>
              <w:pStyle w:val="Compact"/>
              <w:jc w:val="left"/>
            </w:pPr>
            <w:r>
              <w:t xml:space="preserve">$145,300</w:t>
            </w:r>
          </w:p>
        </w:tc>
      </w:tr>
    </w:tbl>
    <w:bookmarkEnd w:id="22"/>
    <w:bookmarkStart w:id="23" w:name="payment-terms-schedule"/>
    <w:p>
      <w:pPr>
        <w:pStyle w:val="Heading2"/>
      </w:pPr>
      <w:r>
        <w:t xml:space="preserve">3. Payment Terms &amp; Schedule</w:t>
      </w:r>
    </w:p>
    <w:p>
      <w:pPr>
        <w:pStyle w:val="FirstParagraph"/>
      </w:pPr>
      <w:r>
        <w:rPr>
          <w:bCs/>
          <w:b/>
        </w:rPr>
        <w:t xml:space="preserve">3.1</w:t>
      </w:r>
      <w:r>
        <w:t xml:space="preserve"> </w:t>
      </w:r>
      <w:r>
        <w:t xml:space="preserve">— A non-refundable advance payment of 30% (USD $43,590) shall be due within ten (10) business days of acceptance of this</w:t>
      </w:r>
      <w:r>
        <w:t xml:space="preserve"> </w:t>
      </w:r>
      <w:r>
        <w:t xml:space="preserve">Quotation Estimate</w:t>
      </w:r>
      <w:r>
        <w:t xml:space="preserve"> </w:t>
      </w:r>
      <w:r>
        <w:t xml:space="preserve">to secure the</w:t>
      </w:r>
      <w:r>
        <w:t xml:space="preserve"> </w:t>
      </w:r>
      <w:r>
        <w:t xml:space="preserve">Medical Researcher</w:t>
      </w:r>
      <w:r>
        <w:t xml:space="preserve">'s availability and initiate the mobilization process in</w:t>
      </w:r>
      <w:r>
        <w:t xml:space="preserve"> </w:t>
      </w:r>
      <w:r>
        <w:t xml:space="preserve">Iran Tehran</w:t>
      </w:r>
      <w:r>
        <w:t xml:space="preserve">.</w:t>
      </w:r>
    </w:p>
    <w:p>
      <w:pPr>
        <w:pStyle w:val="BodyText"/>
      </w:pPr>
      <w:r>
        <w:rPr>
          <w:bCs/>
          <w:b/>
        </w:rPr>
        <w:t xml:space="preserve">3.2</w:t>
      </w:r>
      <w:r>
        <w:t xml:space="preserve"> </w:t>
      </w:r>
      <w:r>
        <w:t xml:space="preserve">— The remaining 70% shall be disbursed in two equal installments: 35% upon completion of the pre-clinical phase and 35% upon successful submission of the final research deliverables and regulatory filings.</w:t>
      </w:r>
    </w:p>
    <w:p>
      <w:pPr>
        <w:pStyle w:val="BodyText"/>
      </w:pPr>
      <w:r>
        <w:rPr>
          <w:bCs/>
          <w:b/>
        </w:rPr>
        <w:t xml:space="preserve">3.3</w:t>
      </w:r>
      <w:r>
        <w:t xml:space="preserve"> </w:t>
      </w:r>
      <w:r>
        <w:t xml:space="preserve">— All payments shall be processed via international wire transfer to the designated account. Applicable Iranian tax obligations (VAT at 10% where mandated by local law in Tehran) shall be borne by the client and are not included in the above figures.</w:t>
      </w:r>
    </w:p>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 This</w:t>
      </w:r>
      <w:r>
        <w:t xml:space="preserve"> </w:t>
      </w:r>
      <w:r>
        <w:t xml:space="preserve">Quotation Estimate</w:t>
      </w:r>
      <w:r>
        <w:t xml:space="preserve"> </w:t>
      </w:r>
      <w:r>
        <w:t xml:space="preserve">is valid for thirty (30) calendar days from the date of issue. Beyond this period, pricing may be subject to revision due to currency fluctuation, availability of the</w:t>
      </w:r>
      <w:r>
        <w:t xml:space="preserve"> </w:t>
      </w:r>
      <w:r>
        <w:t xml:space="preserve">Medical Researcher</w:t>
      </w:r>
      <w:r>
        <w:t xml:space="preserve">, or changes in local operational costs within</w:t>
      </w:r>
      <w:r>
        <w:t xml:space="preserve"> </w:t>
      </w:r>
      <w:r>
        <w:t xml:space="preserve">Iran Tehran</w:t>
      </w:r>
      <w:r>
        <w:t xml:space="preserve">.</w:t>
      </w:r>
    </w:p>
    <w:p>
      <w:pPr>
        <w:pStyle w:val="BodyText"/>
      </w:pPr>
      <w:r>
        <w:rPr>
          <w:bCs/>
          <w:b/>
        </w:rPr>
        <w:t xml:space="preserve">4.2</w:t>
      </w:r>
      <w:r>
        <w:t xml:space="preserve"> </w:t>
      </w:r>
      <w:r>
        <w:t xml:space="preserve">— The</w:t>
      </w:r>
      <w:r>
        <w:t xml:space="preserve"> </w:t>
      </w:r>
      <w:r>
        <w:t xml:space="preserve">Medical Researcher</w:t>
      </w:r>
      <w:r>
        <w:t xml:space="preserve"> </w:t>
      </w:r>
      <w:r>
        <w:t xml:space="preserve">shall comply with all applicable Iranian national research ethics guidelines, the Declaration of Helsinki, and institutional review board (IRB) requirements specific to Tehran-based research institutions.</w:t>
      </w:r>
    </w:p>
    <w:p>
      <w:pPr>
        <w:pStyle w:val="BodyText"/>
      </w:pPr>
      <w:r>
        <w:rPr>
          <w:bCs/>
          <w:b/>
        </w:rPr>
        <w:t xml:space="preserve">4.3</w:t>
      </w:r>
      <w:r>
        <w:t xml:space="preserve"> </w:t>
      </w:r>
      <w:r>
        <w:t xml:space="preserve">— Intellectual property generated during the engagement shall be jointly owned by the client and the research entity, as stipulated in the separate Master Service Agreement to be executed prior to commencement of work in</w:t>
      </w:r>
      <w:r>
        <w:t xml:space="preserve"> </w:t>
      </w:r>
      <w:r>
        <w:t xml:space="preserve">Iran Tehran</w:t>
      </w:r>
      <w:r>
        <w:t xml:space="preserve">.</w:t>
      </w:r>
    </w:p>
    <w:p>
      <w:pPr>
        <w:pStyle w:val="BodyText"/>
      </w:pPr>
      <w:r>
        <w:rPr>
          <w:bCs/>
          <w:b/>
        </w:rPr>
        <w:t xml:space="preserve">4.4</w:t>
      </w:r>
      <w:r>
        <w:t xml:space="preserve"> </w:t>
      </w:r>
      <w:r>
        <w:t xml:space="preserve">— Force majeure events, including but not limited to government-imposed restrictions, natural disasters, or public health emergencies affecting operations in</w:t>
      </w:r>
      <w:r>
        <w:t xml:space="preserve"> </w:t>
      </w:r>
      <w:r>
        <w:t xml:space="preserve">Iran Tehran</w:t>
      </w:r>
      <w:r>
        <w:t xml:space="preserve">, shall suspend contractual obligations without penalty to either party.</w:t>
      </w:r>
    </w:p>
    <w:p>
      <w:pPr>
        <w:pStyle w:val="BodyText"/>
      </w:pPr>
      <w:r>
        <w:rPr>
          <w:bCs/>
          <w:b/>
        </w:rPr>
        <w:t xml:space="preserve">4.5</w:t>
      </w:r>
      <w:r>
        <w:t xml:space="preserve"> </w:t>
      </w:r>
      <w:r>
        <w:t xml:space="preserve">— Any disputes arising from this</w:t>
      </w:r>
      <w:r>
        <w:t xml:space="preserve"> </w:t>
      </w:r>
      <w:r>
        <w:t xml:space="preserve">Quotation Estimate</w:t>
      </w:r>
      <w:r>
        <w:t xml:space="preserve"> </w:t>
      </w:r>
      <w:r>
        <w:t xml:space="preserve">or the subsequent contract shall be resolved through arbitration in accordance with the rules of the International Chamber of Commerce (ICC), with the seat of arbitration to be mutually agreed upon.</w:t>
      </w:r>
    </w:p>
    <w:bookmarkEnd w:id="24"/>
    <w:bookmarkStart w:id="25" w:name="acceptance-authorization"/>
    <w:p>
      <w:pPr>
        <w:pStyle w:val="Heading2"/>
      </w:pPr>
      <w:r>
        <w:t xml:space="preserve">5. Acceptance &amp; Authorization</w:t>
      </w:r>
    </w:p>
    <w:p>
      <w:pPr>
        <w:pStyle w:val="FirstParagraph"/>
      </w:pPr>
      <w:r>
        <w:t xml:space="preserve">By signing below, the client acknowledges and accepts the terms, conditions, and pricing outlined in this</w:t>
      </w:r>
      <w:r>
        <w:t xml:space="preserve"> </w:t>
      </w:r>
      <w:r>
        <w:t xml:space="preserve">Quotation Estimate</w:t>
      </w:r>
      <w:r>
        <w:t xml:space="preserve"> </w:t>
      </w:r>
      <w:r>
        <w:t xml:space="preserve">for the engagement of a</w:t>
      </w:r>
      <w:r>
        <w:t xml:space="preserve"> </w:t>
      </w:r>
      <w:r>
        <w:t xml:space="preserve">Medical Researcher</w:t>
      </w:r>
      <w:r>
        <w:t xml:space="preserve"> </w:t>
      </w:r>
      <w:r>
        <w:t xml:space="preserve">to conduct research activities in</w:t>
      </w:r>
      <w:r>
        <w:t xml:space="preserve"> </w:t>
      </w:r>
      <w:r>
        <w:t xml:space="preserve">Iran Tehran</w:t>
      </w:r>
      <w:r>
        <w:t xml:space="preserve">.</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the Research Entity</w:t>
      </w:r>
      <w:r>
        <w:br/>
      </w:r>
      <w:r>
        <w:t xml:space="preserve">Name: Dr. Alireza Mohammadi</w:t>
      </w:r>
      <w:r>
        <w:br/>
      </w:r>
      <w:r>
        <w:t xml:space="preserve">Title: Lead Consultant / Medical Researcher</w:t>
      </w:r>
      <w:r>
        <w:br/>
      </w:r>
      <w:r>
        <w:t xml:space="preserve">Date: _________________________</w:t>
      </w:r>
    </w:p>
    <w:p>
      <w:pPr>
        <w:pStyle w:val="BodyText"/>
      </w:pPr>
      <w:r>
        <w:t xml:space="preserve">This Quotation Estimate document was prepared exclusively for the client named herein and is not transferable. All services are to be rendered in compliance with the laws of the Islamic Republic of Iran, specifically within the jurisdiction of Tehran Province. Document generated on June 15, 2025. © 2025 Tehran Biomedical Research Consultancy Group.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Iran Tehran</dc:title>
  <dc:creator/>
  <dc:language>en</dc:language>
  <cp:keywords/>
  <dcterms:created xsi:type="dcterms:W3CDTF">2026-10-10T03:46:58Z</dcterms:created>
  <dcterms:modified xsi:type="dcterms:W3CDTF">2026-10-10T03:46:58Z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