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Israel Tel Aviv | Tel Aviv-Yafo, Israel</w:t>
      </w:r>
    </w:p>
    <w:p>
      <w:pPr>
        <w:pStyle w:val="BodyText"/>
      </w:pPr>
      <w:r>
        <w:t xml:space="preserve">Ref: QE-MR-2025-0417 | Valid Until: 30 June 2025</w:t>
      </w:r>
    </w:p>
    <w:bookmarkEnd w:id="20"/>
    <w:p>
      <w:pPr>
        <w:pStyle w:val="BodyText"/>
      </w:pPr>
      <w:r>
        <w:rPr>
          <w:bCs/>
          <w:b/>
        </w:rPr>
        <w:t xml:space="preserve">Prepared By:</w:t>
      </w:r>
      <w:r>
        <w:br/>
      </w:r>
      <w:r>
        <w:t xml:space="preserve">Dr. Sarah Cohen, Lead Medical Researcher</w:t>
      </w:r>
      <w:r>
        <w:br/>
      </w:r>
      <w:r>
        <w:t xml:space="preserve">Tel Aviv Medical Research Institute</w:t>
      </w:r>
      <w:r>
        <w:br/>
      </w:r>
      <w:r>
        <w:t xml:space="preserve">45 Allenby Street, Tel Aviv-Yafo, Israel 6610100</w:t>
      </w:r>
      <w:r>
        <w:br/>
      </w:r>
      <w:r>
        <w:t xml:space="preserve">Tel: +972-3-518-4400 | Email: research@tami.co.il</w:t>
      </w:r>
    </w:p>
    <w:p>
      <w:pPr>
        <w:pStyle w:val="BodyText"/>
      </w:pPr>
      <w:r>
        <w:rPr>
          <w:bCs/>
          <w:b/>
        </w:rPr>
        <w:t xml:space="preserve">Prepared For:</w:t>
      </w:r>
      <w:r>
        <w:br/>
      </w:r>
      <w:r>
        <w:t xml:space="preserve">Dr. Michael Levi</w:t>
      </w:r>
      <w:r>
        <w:br/>
      </w:r>
      <w:r>
        <w:t xml:space="preserve">Head of Clinical Trials Division</w:t>
      </w:r>
      <w:r>
        <w:br/>
      </w:r>
      <w:r>
        <w:t xml:space="preserve">Sheba Medical Center – Tel Aviv Campus</w:t>
      </w:r>
      <w:r>
        <w:br/>
      </w:r>
      <w:r>
        <w:t xml:space="preserve">12 HaYarkon Street, Tel Aviv, Israel 6971900</w:t>
      </w:r>
      <w:r>
        <w:br/>
      </w:r>
      <w:r>
        <w:t xml:space="preserve">Tel: +972-3-640-6600 | Email: m.levi@sheba.co.il</w:t>
      </w:r>
    </w:p>
    <w:p>
      <w:pPr>
        <w:pStyle w:val="BodyText"/>
      </w:pPr>
      <w:r>
        <w:t xml:space="preserve">Dear Dr. Levi,</w:t>
      </w:r>
    </w:p>
    <w:p>
      <w:pPr>
        <w:pStyle w:val="BodyText"/>
      </w:pPr>
      <w:r>
        <w:t xml:space="preserve">Thank you for your inquiry regarding the engagement of a qualified</w:t>
      </w:r>
      <w:r>
        <w:t xml:space="preserve"> </w:t>
      </w:r>
      <w:r>
        <w:t xml:space="preserve">Medical Researcher</w:t>
      </w:r>
      <w:r>
        <w:t xml:space="preserve"> </w:t>
      </w:r>
      <w:r>
        <w:t xml:space="preserve">to support the ongoing Phase III clinical trial program at your Tel Aviv facility. This</w:t>
      </w:r>
      <w:r>
        <w:t xml:space="preserve"> </w:t>
      </w:r>
      <w:r>
        <w:t xml:space="preserve">Quotation Estimate</w:t>
      </w:r>
      <w:r>
        <w:t xml:space="preserve"> </w:t>
      </w:r>
      <w:r>
        <w:t xml:space="preserve">has been carefully prepared to outline the full scope of professional services, associated costs, and terms of engagement for the provision of a senior</w:t>
      </w:r>
      <w:r>
        <w:t xml:space="preserve"> </w:t>
      </w:r>
      <w:r>
        <w:t xml:space="preserve">Medical Researcher</w:t>
      </w:r>
      <w:r>
        <w:t xml:space="preserve"> </w:t>
      </w:r>
      <w:r>
        <w:t xml:space="preserve">based in</w:t>
      </w:r>
      <w:r>
        <w:t xml:space="preserve"> </w:t>
      </w:r>
      <w:r>
        <w:t xml:space="preserve">Israel Tel Aviv</w:t>
      </w:r>
      <w:r>
        <w:t xml:space="preserve">. We are pleased to present this detailed proposal for your review and consideration.</w:t>
      </w:r>
    </w:p>
    <w:bookmarkStart w:id="21" w:name="Xb1e69cda2657fb3522d5f06f68500be55311324"/>
    <w:p>
      <w:pPr>
        <w:pStyle w:val="Heading2"/>
      </w:pPr>
      <w:r>
        <w:t xml:space="preserve">1. Scope of Services – Medical Researcher Engagement</w:t>
      </w:r>
    </w:p>
    <w:p>
      <w:pPr>
        <w:pStyle w:val="FirstParagraph"/>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will be a board-certified physician with a minimum of ten years of post-doctoral experience in oncology and immunotherapy research. The researcher will be physically stationed at the Tel Aviv campus and will operate in full compliance with the Israeli Ministry of Health regulations, the Israel National Institute for Biotechnology and Drug Development (INBD) guidelines, and all applicable ethical review board (IRB) protocols specific to</w:t>
      </w:r>
      <w:r>
        <w:t xml:space="preserve"> </w:t>
      </w:r>
      <w:r>
        <w:t xml:space="preserve">Israel Tel Aviv</w:t>
      </w:r>
      <w:r>
        <w:t xml:space="preserve"> </w:t>
      </w:r>
      <w:r>
        <w:t xml:space="preserve">research institutions.</w:t>
      </w:r>
    </w:p>
    <w:p>
      <w:pPr>
        <w:pStyle w:val="BodyText"/>
      </w:pPr>
      <w:r>
        <w:t xml:space="preserve">The primary responsibilities of the</w:t>
      </w:r>
      <w:r>
        <w:t xml:space="preserve"> </w:t>
      </w:r>
      <w:r>
        <w:t xml:space="preserve">Medical Researcher</w:t>
      </w:r>
      <w:r>
        <w:t xml:space="preserve"> </w:t>
      </w:r>
      <w:r>
        <w:t xml:space="preserve">include, but are not limited to: protocol design and amendment oversight, patient recruitment coordination, data collection and statistical analysis, adverse event monitoring and reporting, peer-reviewed publication drafting, and direct liaison with the Israeli regulatory authority (Israel Ministry of Health – Drugs Division). All research activities will be conducted within the Tel Aviv metropolitan area, with primary operations at the Sheba Medical Center Tel Aviv Campus and secondary access to the Tel Aviv University Sackler Faculty of Medicine laboratories.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(ILS)</w:t>
            </w:r>
          </w:p>
        </w:tc>
        <w:tc>
          <w:tcPr/>
          <w:p>
            <w:pPr>
              <w:pStyle w:val="Compact"/>
              <w:jc w:val="left"/>
            </w:pPr>
            <w:r>
              <w:t xml:space="preserve">Quantity</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Senior Medical Researcher – Full-time engagement (oncology/immunotherapy specialization)</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12</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Research Assistant support (2 FTE) – data entry, literature review, sample processing</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24</w:t>
            </w:r>
          </w:p>
        </w:tc>
        <w:tc>
          <w:tcPr/>
          <w:p>
            <w:pPr>
              <w:pStyle w:val="Compact"/>
              <w:jc w:val="left"/>
            </w:pPr>
            <w:r>
              <w:t xml:space="preserve">432,000</w:t>
            </w:r>
          </w:p>
        </w:tc>
      </w:tr>
      <w:tr>
        <w:tc>
          <w:tcPr/>
          <w:p>
            <w:pPr>
              <w:pStyle w:val="Compact"/>
              <w:jc w:val="left"/>
            </w:pPr>
            <w:r>
              <w:t xml:space="preserve">3</w:t>
            </w:r>
          </w:p>
        </w:tc>
        <w:tc>
          <w:tcPr/>
          <w:p>
            <w:pPr>
              <w:pStyle w:val="Compact"/>
              <w:jc w:val="left"/>
            </w:pPr>
            <w:r>
              <w:t xml:space="preserve">Laboratory access and consumables – Tel Aviv University Sackler Faculty</w:t>
            </w:r>
          </w:p>
        </w:tc>
        <w:tc>
          <w:tcPr/>
          <w:p>
            <w:pPr>
              <w:pStyle w:val="Compact"/>
              <w:jc w:val="left"/>
            </w:pPr>
            <w:r>
              <w:t xml:space="preserve">12 months</w:t>
            </w:r>
          </w:p>
        </w:tc>
        <w:tc>
          <w:tcPr/>
          <w:p>
            <w:pPr>
              <w:pStyle w:val="Compact"/>
              <w:jc w:val="left"/>
            </w:pPr>
            <w:r>
              <w:t xml:space="preserve">12,500 / month</w:t>
            </w:r>
          </w:p>
        </w:tc>
        <w:tc>
          <w:tcPr/>
          <w:p>
            <w:pPr>
              <w:pStyle w:val="Compact"/>
              <w:jc w:val="left"/>
            </w:pPr>
            <w:r>
              <w:t xml:space="preserve">12</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Statistical analysis and biostatistical consulting (per protocol milestone)</w:t>
            </w:r>
          </w:p>
        </w:tc>
        <w:tc>
          <w:tcPr/>
          <w:p>
            <w:pPr>
              <w:pStyle w:val="Compact"/>
              <w:jc w:val="left"/>
            </w:pPr>
            <w:r>
              <w:t xml:space="preserve">4 milestones</w:t>
            </w:r>
          </w:p>
        </w:tc>
        <w:tc>
          <w:tcPr/>
          <w:p>
            <w:pPr>
              <w:pStyle w:val="Compact"/>
              <w:jc w:val="left"/>
            </w:pPr>
            <w:r>
              <w:t xml:space="preserve">35,000 / milestone</w:t>
            </w:r>
          </w:p>
        </w:tc>
        <w:tc>
          <w:tcPr/>
          <w:p>
            <w:pPr>
              <w:pStyle w:val="Compact"/>
              <w:jc w:val="left"/>
            </w:pPr>
            <w:r>
              <w:t xml:space="preserve">4</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IRB submission, regulatory filing, and compliance management – Israel Tel Aviv jurisdiction</w:t>
            </w:r>
          </w:p>
        </w:tc>
        <w:tc>
          <w:tcPr/>
          <w:p>
            <w:pPr>
              <w:pStyle w:val="Compact"/>
              <w:jc w:val="left"/>
            </w:pPr>
            <w:r>
              <w:t xml:space="preserve">As required</w:t>
            </w:r>
          </w:p>
        </w:tc>
        <w:tc>
          <w:tcPr/>
          <w:p>
            <w:pPr>
              <w:pStyle w:val="Compact"/>
              <w:jc w:val="left"/>
            </w:pPr>
            <w:r>
              <w:t xml:space="preserve">28,000 / filing</w:t>
            </w:r>
          </w:p>
        </w:tc>
        <w:tc>
          <w:tcPr/>
          <w:p>
            <w:pPr>
              <w:pStyle w:val="Compact"/>
              <w:jc w:val="left"/>
            </w:pPr>
            <w:r>
              <w:t xml:space="preserve">3</w:t>
            </w:r>
          </w:p>
        </w:tc>
        <w:tc>
          <w:tcPr/>
          <w:p>
            <w:pPr>
              <w:pStyle w:val="Compact"/>
              <w:jc w:val="left"/>
            </w:pPr>
            <w:r>
              <w:t xml:space="preserve">84,000</w:t>
            </w:r>
          </w:p>
        </w:tc>
      </w:tr>
      <w:tr>
        <w:tc>
          <w:tcPr/>
          <w:p>
            <w:pPr>
              <w:pStyle w:val="Compact"/>
              <w:jc w:val="left"/>
            </w:pPr>
            <w:r>
              <w:t xml:space="preserve">6</w:t>
            </w:r>
          </w:p>
        </w:tc>
        <w:tc>
          <w:tcPr/>
          <w:p>
            <w:pPr>
              <w:pStyle w:val="Compact"/>
              <w:jc w:val="left"/>
            </w:pPr>
            <w:r>
              <w:t xml:space="preserve">Peer-reviewed publication support (journal submission, revision, open-access fees)</w:t>
            </w:r>
          </w:p>
        </w:tc>
        <w:tc>
          <w:tcPr/>
          <w:p>
            <w:pPr>
              <w:pStyle w:val="Compact"/>
              <w:jc w:val="left"/>
            </w:pPr>
            <w:r>
              <w:t xml:space="preserve">3 publications</w:t>
            </w:r>
          </w:p>
        </w:tc>
        <w:tc>
          <w:tcPr/>
          <w:p>
            <w:pPr>
              <w:pStyle w:val="Compact"/>
              <w:jc w:val="left"/>
            </w:pPr>
            <w:r>
              <w:t xml:space="preserve">15,000 / publication</w:t>
            </w:r>
          </w:p>
        </w:tc>
        <w:tc>
          <w:tcPr/>
          <w:p>
            <w:pPr>
              <w:pStyle w:val="Compact"/>
              <w:jc w:val="left"/>
            </w:pPr>
            <w:r>
              <w:t xml:space="preserve">3</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Travel and on-site coordination within Tel Aviv metropolitan area</w:t>
            </w:r>
          </w:p>
        </w:tc>
        <w:tc>
          <w:tcPr/>
          <w:p>
            <w:pPr>
              <w:pStyle w:val="Compact"/>
              <w:jc w:val="left"/>
            </w:pPr>
            <w:r>
              <w:t xml:space="preserve">12 months</w:t>
            </w:r>
          </w:p>
        </w:tc>
        <w:tc>
          <w:tcPr/>
          <w:p>
            <w:pPr>
              <w:pStyle w:val="Compact"/>
              <w:jc w:val="left"/>
            </w:pPr>
            <w:r>
              <w:t xml:space="preserve">4,000 / month</w:t>
            </w:r>
          </w:p>
        </w:tc>
        <w:tc>
          <w:tcPr/>
          <w:p>
            <w:pPr>
              <w:pStyle w:val="Compact"/>
              <w:jc w:val="left"/>
            </w:pPr>
            <w:r>
              <w:t xml:space="preserve">12</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Project management, reporting, and administrative overhead (8%)</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w:t>
            </w:r>
          </w:p>
        </w:tc>
        <w:tc>
          <w:tcPr/>
          <w:p>
            <w:pPr>
              <w:pStyle w:val="Compact"/>
              <w:jc w:val="left"/>
            </w:pPr>
            <w:r>
              <w:t xml:space="preserve">103,680</w:t>
            </w:r>
          </w:p>
        </w:tc>
      </w:tr>
      <w:tr>
        <w:tc>
          <w:tcPr>
            <w:gridSpan w:val="5"/>
          </w:tcPr>
          <w:p>
            <w:pPr>
              <w:pStyle w:val="Compact"/>
              <w:jc w:val="left"/>
            </w:pPr>
            <w:r>
              <w:t xml:space="preserve">TOTAL ESTIMATED COST (excl. VAT)</w:t>
            </w:r>
          </w:p>
        </w:tc>
        <w:tc>
          <w:tcPr/>
          <w:p>
            <w:pPr>
              <w:pStyle w:val="Compact"/>
              <w:jc w:val="left"/>
            </w:pPr>
            <w:r>
              <w:t xml:space="preserve">1,542,680 ILS</w:t>
            </w:r>
          </w:p>
        </w:tc>
      </w:tr>
      <w:tr>
        <w:tc>
          <w:tcPr>
            <w:gridSpan w:val="5"/>
          </w:tcPr>
          <w:p>
            <w:pPr>
              <w:pStyle w:val="Compact"/>
              <w:jc w:val="left"/>
            </w:pPr>
            <w:r>
              <w:t xml:space="preserve">VAT (18% – Israel)</w:t>
            </w:r>
          </w:p>
        </w:tc>
        <w:tc>
          <w:tcPr/>
          <w:p>
            <w:pPr>
              <w:pStyle w:val="Compact"/>
              <w:jc w:val="left"/>
            </w:pPr>
            <w:r>
              <w:t xml:space="preserve">277,682 ILS</w:t>
            </w:r>
          </w:p>
        </w:tc>
      </w:tr>
      <w:tr>
        <w:tc>
          <w:tcPr>
            <w:gridSpan w:val="5"/>
          </w:tcPr>
          <w:p>
            <w:pPr>
              <w:pStyle w:val="Compact"/>
              <w:jc w:val="left"/>
            </w:pPr>
            <w:r>
              <w:t xml:space="preserve">GRAND TOTAL (incl. VAT)</w:t>
            </w:r>
          </w:p>
        </w:tc>
        <w:tc>
          <w:tcPr/>
          <w:p>
            <w:pPr>
              <w:pStyle w:val="Compact"/>
              <w:jc w:val="left"/>
            </w:pPr>
            <w:r>
              <w:t xml:space="preserve">1,820,362 ILS</w:t>
            </w:r>
          </w:p>
        </w:tc>
      </w:tr>
    </w:tbl>
    <w:bookmarkEnd w:id="22"/>
    <w:bookmarkStart w:id="23" w:name="payment-terms"/>
    <w:p>
      <w:pPr>
        <w:pStyle w:val="Heading2"/>
      </w:pPr>
      <w:r>
        <w:t xml:space="preserve">3.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 an initial deposit of 25% (ILS 455,090.50) due upon contract execution; quarterly progress payments of 20% each (ILS 364,072.40) due at the end of months 3, 6, 9, and 12; and a final settlement of 15% (ILS 273,054.30) due upon successful completion of the final research deliverable and submission of the closing report. All payments shall be made via bank transfer to the Tel Aviv Medical Research Institute's designated account at Bank Hapoalim, Tel Aviv branch. Late payments shall accrue interest at the rate prescribed by the Israeli Late Payment Law (5% per annum above the Bank of Israel base rate).</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pricing may be subject to revision based on market conditions in</w:t>
      </w:r>
      <w:r>
        <w:t xml:space="preserve"> </w:t>
      </w:r>
      <w:r>
        <w:t xml:space="preserve">Israel Tel Aviv</w:t>
      </w:r>
      <w:r>
        <w:t xml:space="preserve">.</w:t>
      </w:r>
    </w:p>
    <w:p>
      <w:pPr>
        <w:numPr>
          <w:ilvl w:val="0"/>
          <w:numId w:val="1001"/>
        </w:numPr>
        <w:pStyle w:val="Compact"/>
      </w:pPr>
      <w:r>
        <w:t xml:space="preserve">The</w:t>
      </w:r>
      <w:r>
        <w:t xml:space="preserve"> </w:t>
      </w:r>
      <w:r>
        <w:t xml:space="preserve">Medical Researcher</w:t>
      </w:r>
      <w:r>
        <w:t xml:space="preserve"> </w:t>
      </w:r>
      <w:r>
        <w:t xml:space="preserve">shall maintain full professional liability insurance in accordance with Israeli medical practice regulations, with a minimum coverage of ILS 5,000,000 per claim.</w:t>
      </w:r>
    </w:p>
    <w:p>
      <w:pPr>
        <w:numPr>
          <w:ilvl w:val="0"/>
          <w:numId w:val="1001"/>
        </w:numPr>
        <w:pStyle w:val="Compact"/>
      </w:pPr>
      <w:r>
        <w:t xml:space="preserve">All research data generated under this engagement shall be the exclusive intellectual property of the client, subject to the publication rights of the</w:t>
      </w:r>
      <w:r>
        <w:t xml:space="preserve"> </w:t>
      </w:r>
      <w:r>
        <w:t xml:space="preserve">Medical Researcher</w:t>
      </w:r>
      <w:r>
        <w:t xml:space="preserve"> </w:t>
      </w:r>
      <w:r>
        <w:t xml:space="preserve">as defined in a separate IP agreement.</w:t>
      </w:r>
    </w:p>
    <w:p>
      <w:pPr>
        <w:numPr>
          <w:ilvl w:val="0"/>
          <w:numId w:val="1001"/>
        </w:numPr>
        <w:pStyle w:val="Compact"/>
      </w:pPr>
      <w:r>
        <w:t xml:space="preserve">The</w:t>
      </w:r>
      <w:r>
        <w:t xml:space="preserve"> </w:t>
      </w:r>
      <w:r>
        <w:t xml:space="preserve">Medical Researcher</w:t>
      </w:r>
      <w:r>
        <w:t xml:space="preserve"> </w:t>
      </w:r>
      <w:r>
        <w:t xml:space="preserve">is bound by the Israeli Confidentiality Law, 5749-1989, and all data shall be stored in compliance with the Israeli Privacy Protection Law, 5741-1981, and the EU GDPR where applicable to international collaborators.</w:t>
      </w:r>
    </w:p>
    <w:p>
      <w:pPr>
        <w:numPr>
          <w:ilvl w:val="0"/>
          <w:numId w:val="1001"/>
        </w:numPr>
        <w:pStyle w:val="Compact"/>
      </w:pPr>
      <w:r>
        <w:t xml:space="preserve">Either party may terminate this engagement with thirty (30) days' written notice. In the event of early termination, all costs incurred up to the termination date shall be invoiced in full.</w:t>
      </w:r>
    </w:p>
    <w:p>
      <w:pPr>
        <w:numPr>
          <w:ilvl w:val="0"/>
          <w:numId w:val="1001"/>
        </w:numPr>
        <w:pStyle w:val="Compact"/>
      </w:pPr>
      <w:r>
        <w:t xml:space="preserve">All services shall be performed in accordance with the Helsinki Declaration, the Israeli Ministry of Health clinical trial regulations, and the specific ethical guidelines of the Tel Aviv Regional Ethics Committee.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incorporating these terms.</w:t>
      </w:r>
    </w:p>
    <w:p>
      <w:pPr>
        <w:numPr>
          <w:ilvl w:val="0"/>
          <w:numId w:val="1001"/>
        </w:numPr>
        <w:pStyle w:val="Compact"/>
      </w:pPr>
      <w:r>
        <w:t xml:space="preserve">Disputes arising from this engagement shall be resolved through arbitration in Tel Aviv, Israel, in accordance with the rules of the Israel Arbitration Association, conducted in Hebrew or English at the parties' mutual agreement.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Medical Researcher</w:t>
      </w:r>
      <w:r>
        <w:t xml:space="preserve"> </w:t>
      </w:r>
      <w:r>
        <w:t xml:space="preserve">in</w:t>
      </w:r>
      <w:r>
        <w:t xml:space="preserve"> </w:t>
      </w:r>
      <w:r>
        <w:t xml:space="preserve">Israel Tel Aviv</w:t>
      </w:r>
      <w:r>
        <w:t xml:space="preserve">. This acceptance shall serve as the basis for the preparation of the definitive Service Agreement.</w:t>
      </w:r>
    </w:p>
    <w:p>
      <w:pPr>
        <w:pStyle w:val="BodyText"/>
      </w:pPr>
      <w:r>
        <w:rPr>
          <w:bCs/>
          <w:b/>
        </w:rPr>
        <w:t xml:space="preserve">For the Provider:</w:t>
      </w:r>
      <w:r>
        <w:br/>
      </w:r>
      <w:r>
        <w:t xml:space="preserve">Dr. Sarah Cohen</w:t>
      </w:r>
      <w:r>
        <w:br/>
      </w:r>
      <w:r>
        <w:t xml:space="preserve">Lead Medical Researcher</w:t>
      </w:r>
      <w:r>
        <w:br/>
      </w:r>
      <w:r>
        <w:t xml:space="preserve">Tel Aviv Medical Research Institute</w:t>
      </w:r>
      <w:r>
        <w:br/>
      </w:r>
      <w:r>
        <w:t xml:space="preserve">Date: _______________</w:t>
      </w:r>
    </w:p>
    <w:p>
      <w:pPr>
        <w:pStyle w:val="BodyText"/>
      </w:pPr>
      <w:r>
        <w:rPr>
          <w:bCs/>
          <w:b/>
        </w:rPr>
        <w:t xml:space="preserve">For the Client:</w:t>
      </w:r>
      <w:r>
        <w:br/>
      </w:r>
      <w:r>
        <w:t xml:space="preserve">Dr. Michael Levi</w:t>
      </w:r>
      <w:r>
        <w:br/>
      </w:r>
      <w:r>
        <w:t xml:space="preserve">Head of Clinical Trials Division</w:t>
      </w:r>
      <w:r>
        <w:br/>
      </w:r>
      <w:r>
        <w:t xml:space="preserve">Sheba Medical Center – Tel Aviv Campus</w:t>
      </w:r>
      <w:r>
        <w:br/>
      </w:r>
      <w:r>
        <w:t xml:space="preserve">Date: _______________</w:t>
      </w:r>
    </w:p>
    <w:p>
      <w:pPr>
        <w:pStyle w:val="BodyText"/>
      </w:pPr>
      <w:r>
        <w:t xml:space="preserve">This Quotation Estimate was prepared by the Tel Aviv Medical Research Institute, Israel Tel Aviv. Document Ref: QE-MR-2025-0417. All amounts are denominated in Israeli New Shekels (ILS). This document is confidential and intended solely for the named recipient.</w:t>
      </w:r>
    </w:p>
    <w:p>
      <w:pPr>
        <w:pStyle w:val="BodyText"/>
      </w:pPr>
      <w:r>
        <w:t xml:space="preserve">© 2025 Tel Aviv Medical Research Institute.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Israel Tel Aviv</dc:title>
  <dc:creator/>
  <dc:language>en</dc:language>
  <cp:keywords/>
  <dcterms:created xsi:type="dcterms:W3CDTF">2026-10-10T02:03:11Z</dcterms:created>
  <dcterms:modified xsi:type="dcterms:W3CDTF">2026-10-10T02:03:11Z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