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Prepared for Deployment in Japan Osaka</w:t>
      </w:r>
    </w:p>
    <w:p>
      <w:pPr>
        <w:pStyle w:val="BodyText"/>
      </w:pPr>
      <w:r>
        <w:t xml:space="preserve">Document Reference: QE-JO-2025-04782</w:t>
      </w:r>
    </w:p>
    <w:bookmarkEnd w:id="20"/>
    <w:bookmarkStart w:id="21" w:name="quotation-estimate-details"/>
    <w:p>
      <w:pPr>
        <w:pStyle w:val="Heading4"/>
      </w:pPr>
      <w:r>
        <w:t xml:space="preserve">Quotation Estimate Details</w:t>
      </w:r>
    </w:p>
    <w:p>
      <w:pPr>
        <w:pStyle w:val="FirstParagraph"/>
      </w:pPr>
      <w:r>
        <w:rPr>
          <w:bCs/>
          <w:b/>
        </w:rPr>
        <w:t xml:space="preserve">Quotation Estimate No.:</w:t>
      </w:r>
      <w:r>
        <w:t xml:space="preserve"> </w:t>
      </w:r>
      <w:r>
        <w:t xml:space="preserve">QE-JO-2025-04782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Japanese Yen (JPY) / USD</w:t>
      </w:r>
    </w:p>
    <w:p>
      <w:pPr>
        <w:pStyle w:val="BodyText"/>
      </w:pPr>
      <w:r>
        <w:rPr>
          <w:bCs/>
          <w:b/>
        </w:rPr>
        <w:t xml:space="preserve">Prepared By:</w:t>
      </w:r>
      <w:r>
        <w:t xml:space="preserve"> </w:t>
      </w:r>
      <w:r>
        <w:t xml:space="preserve">Dr. Kenji Tanaka, Senior Consultant</w:t>
      </w:r>
    </w:p>
    <w:bookmarkEnd w:id="21"/>
    <w:bookmarkStart w:id="22" w:name="client-information"/>
    <w:p>
      <w:pPr>
        <w:pStyle w:val="Heading4"/>
      </w:pPr>
      <w:r>
        <w:t xml:space="preserve">Client Information</w:t>
      </w:r>
    </w:p>
    <w:p>
      <w:pPr>
        <w:pStyle w:val="FirstParagraph"/>
      </w:pPr>
      <w:r>
        <w:rPr>
          <w:bCs/>
          <w:b/>
        </w:rPr>
        <w:t xml:space="preserve">Client Name:</w:t>
      </w:r>
      <w:r>
        <w:t xml:space="preserve"> </w:t>
      </w:r>
      <w:r>
        <w:t xml:space="preserve">Osaka Metropolitan Biomedical Institute</w:t>
      </w:r>
    </w:p>
    <w:p>
      <w:pPr>
        <w:pStyle w:val="BodyText"/>
      </w:pPr>
      <w:r>
        <w:rPr>
          <w:bCs/>
          <w:b/>
        </w:rPr>
        <w:t xml:space="preserve">Address:</w:t>
      </w:r>
      <w:r>
        <w:t xml:space="preserve"> </w:t>
      </w:r>
      <w:r>
        <w:t xml:space="preserve">3-1-53 Nakanoshima, Kita-ku, Osaka 530-0003, Japan</w:t>
      </w:r>
    </w:p>
    <w:p>
      <w:pPr>
        <w:pStyle w:val="BodyText"/>
      </w:pPr>
      <w:r>
        <w:rPr>
          <w:bCs/>
          <w:b/>
        </w:rPr>
        <w:t xml:space="preserve">Contact Person:</w:t>
      </w:r>
      <w:r>
        <w:t xml:space="preserve"> </w:t>
      </w:r>
      <w:r>
        <w:t xml:space="preserve">Prof. Yuki Morimoto</w:t>
      </w:r>
    </w:p>
    <w:p>
      <w:pPr>
        <w:pStyle w:val="BodyText"/>
      </w:pPr>
      <w:r>
        <w:rPr>
          <w:bCs/>
          <w:b/>
        </w:rPr>
        <w:t xml:space="preserve">Email:</w:t>
      </w:r>
      <w:r>
        <w:t xml:space="preserve"> </w:t>
      </w:r>
      <w:r>
        <w:t xml:space="preserve">y.morimoto@ombi-osaka.jp</w:t>
      </w:r>
    </w:p>
    <w:p>
      <w:pPr>
        <w:pStyle w:val="BodyText"/>
      </w:pPr>
      <w:r>
        <w:rPr>
          <w:bCs/>
          <w:b/>
        </w:rPr>
        <w:t xml:space="preserve">Project Code:</w:t>
      </w:r>
      <w:r>
        <w:t xml:space="preserve"> </w:t>
      </w:r>
      <w:r>
        <w:t xml:space="preserve">OMBI-MR-2025-011</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to provide a comprehensive financial and operational breakdown for the engagement of a qualified</w:t>
      </w:r>
      <w:r>
        <w:t xml:space="preserve"> </w:t>
      </w:r>
      <w:r>
        <w:t xml:space="preserve">Medical Researcher</w:t>
      </w:r>
      <w:r>
        <w:t xml:space="preserve"> </w:t>
      </w:r>
      <w:r>
        <w:t xml:space="preserve">to conduct advanced biomedical research activities within the metropolitan area of</w:t>
      </w:r>
      <w:r>
        <w:t xml:space="preserve"> </w:t>
      </w:r>
      <w:r>
        <w:t xml:space="preserve">Japan Osaka</w:t>
      </w:r>
      <w:r>
        <w:t xml:space="preserve">. The scope of this Quotation Estimate encompasses all professional services, laboratory access fees, regulatory compliance costs, and logistical support required for the Medical Researcher to execute a twelve-month research programme focused on oncology biomarker identification and therapeutic pathway analysis. This document serves as the definitive Quotation Estimate upon which the client may base their procurement decision for the Medical Researcher position in Japan Osaka.</w:t>
      </w:r>
    </w:p>
    <w:p>
      <w:pPr>
        <w:pStyle w:val="BodyText"/>
      </w:pPr>
      <w:r>
        <w:t xml:space="preserve">2. Description of Medical Researcher Services</w:t>
      </w:r>
    </w:p>
    <w:p>
      <w:pPr>
        <w:pStyle w:val="BodyText"/>
      </w:pPr>
      <w:r>
        <w:t xml:space="preserve">The Medical Researcher engaged under this Quotation Estimate shall possess a minimum of a Doctor of Philosophy (PhD) in Molecular Biology, Biochemistry, or a closely related biomedical discipline, with no fewer than eight (8) years of post-doctoral research experience. The Medical Researcher will be based at the Osaka Metropolitan Biomedical Institute facility in Kita-ku, Japan Osaka, and will report directly to the Principal Investigator. Key responsibilities of the Medical Researcher include, but are not limited to: designing and executing in-vitro and in-vivo experimental protocols; conducting statistical analysis of genomic and proteomic datasets; authoring peer-reviewed publications; supervising a team of four (4) graduate research assistants; maintaining full compliance with the Japan Ministry of Health, Labour and Welfare (MHLW) research ethics guidelines; and presenting findings at the annual Osaka International Medical Research Symposium.</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Duration</w:t>
            </w:r>
          </w:p>
        </w:tc>
        <w:tc>
          <w:tcPr/>
          <w:p>
            <w:pPr>
              <w:pStyle w:val="Compact"/>
              <w:jc w:val="left"/>
            </w:pPr>
            <w:r>
              <w:t xml:space="preserve">Unit Cost (JPY)</w:t>
            </w:r>
          </w:p>
        </w:tc>
        <w:tc>
          <w:tcPr/>
          <w:p>
            <w:pPr>
              <w:pStyle w:val="Compact"/>
              <w:jc w:val="left"/>
            </w:pPr>
            <w:r>
              <w:t xml:space="preserve">Total (JPY)</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Medical Researcher Annual Professional Fee (PhD-level, 8+ yrs experience)</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123,333</w:t>
            </w:r>
          </w:p>
        </w:tc>
      </w:tr>
      <w:tr>
        <w:tc>
          <w:tcPr/>
          <w:p>
            <w:pPr>
              <w:pStyle w:val="Compact"/>
              <w:jc w:val="left"/>
            </w:pPr>
            <w:r>
              <w:t xml:space="preserve">2</w:t>
            </w:r>
          </w:p>
        </w:tc>
        <w:tc>
          <w:tcPr/>
          <w:p>
            <w:pPr>
              <w:pStyle w:val="Compact"/>
              <w:jc w:val="left"/>
            </w:pPr>
            <w:r>
              <w:t xml:space="preserve">Laboratory Access and Equipment Usage (Oncology Wing, Japan Osaka facility)</w:t>
            </w:r>
          </w:p>
        </w:tc>
        <w:tc>
          <w:tcPr/>
          <w:p>
            <w:pPr>
              <w:pStyle w:val="Compact"/>
              <w:jc w:val="left"/>
            </w:pPr>
            <w:r>
              <w:t xml:space="preserve">12 months</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28,000</w:t>
            </w:r>
          </w:p>
        </w:tc>
      </w:tr>
      <w:tr>
        <w:tc>
          <w:tcPr/>
          <w:p>
            <w:pPr>
              <w:pStyle w:val="Compact"/>
              <w:jc w:val="left"/>
            </w:pPr>
            <w:r>
              <w:t xml:space="preserve">3</w:t>
            </w:r>
          </w:p>
        </w:tc>
        <w:tc>
          <w:tcPr/>
          <w:p>
            <w:pPr>
              <w:pStyle w:val="Compact"/>
              <w:jc w:val="left"/>
            </w:pPr>
            <w:r>
              <w:t xml:space="preserve">Research Consumables, Reagents, and Biological Samples</w:t>
            </w:r>
          </w:p>
        </w:tc>
        <w:tc>
          <w:tcPr/>
          <w:p>
            <w:pPr>
              <w:pStyle w:val="Compact"/>
              <w:jc w:val="left"/>
            </w:pPr>
            <w:r>
              <w:t xml:space="preserve">12 months</w:t>
            </w:r>
          </w:p>
        </w:tc>
        <w:tc>
          <w:tcPr/>
          <w:p>
            <w:pPr>
              <w:pStyle w:val="Compact"/>
              <w:jc w:val="left"/>
            </w:pPr>
            <w:r>
              <w:t xml:space="preserve">6,800,000</w:t>
            </w:r>
          </w:p>
        </w:tc>
        <w:tc>
          <w:tcPr/>
          <w:p>
            <w:pPr>
              <w:pStyle w:val="Compact"/>
              <w:jc w:val="left"/>
            </w:pPr>
            <w:r>
              <w:t xml:space="preserve">6,800,000</w:t>
            </w:r>
          </w:p>
        </w:tc>
        <w:tc>
          <w:tcPr/>
          <w:p>
            <w:pPr>
              <w:pStyle w:val="Compact"/>
              <w:jc w:val="left"/>
            </w:pPr>
            <w:r>
              <w:t xml:space="preserve">45,333</w:t>
            </w:r>
          </w:p>
        </w:tc>
      </w:tr>
      <w:tr>
        <w:tc>
          <w:tcPr/>
          <w:p>
            <w:pPr>
              <w:pStyle w:val="Compact"/>
              <w:jc w:val="left"/>
            </w:pPr>
            <w:r>
              <w:t xml:space="preserve">4</w:t>
            </w:r>
          </w:p>
        </w:tc>
        <w:tc>
          <w:tcPr/>
          <w:p>
            <w:pPr>
              <w:pStyle w:val="Compact"/>
              <w:jc w:val="left"/>
            </w:pPr>
            <w:r>
              <w:t xml:space="preserve">Regulatory Compliance and Ethics Board Registration (MHLW, Japan Osaka)</w:t>
            </w:r>
          </w:p>
        </w:tc>
        <w:tc>
          <w:tcPr/>
          <w:p>
            <w:pPr>
              <w:pStyle w:val="Compact"/>
              <w:jc w:val="left"/>
            </w:pPr>
            <w:r>
              <w:t xml:space="preserve">One-time</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5,667</w:t>
            </w:r>
          </w:p>
        </w:tc>
      </w:tr>
      <w:tr>
        <w:tc>
          <w:tcPr/>
          <w:p>
            <w:pPr>
              <w:pStyle w:val="Compact"/>
              <w:jc w:val="left"/>
            </w:pPr>
            <w:r>
              <w:t xml:space="preserve">5</w:t>
            </w:r>
          </w:p>
        </w:tc>
        <w:tc>
          <w:tcPr/>
          <w:p>
            <w:pPr>
              <w:pStyle w:val="Compact"/>
              <w:jc w:val="left"/>
            </w:pPr>
            <w:r>
              <w:t xml:space="preserve">Visa Sponsorship, Residency Permit, and Relocation Support for Medical Researcher</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8,000</w:t>
            </w:r>
          </w:p>
        </w:tc>
      </w:tr>
      <w:tr>
        <w:tc>
          <w:tcPr/>
          <w:p>
            <w:pPr>
              <w:pStyle w:val="Compact"/>
              <w:jc w:val="left"/>
            </w:pPr>
            <w:r>
              <w:t xml:space="preserve">6</w:t>
            </w:r>
          </w:p>
        </w:tc>
        <w:tc>
          <w:tcPr/>
          <w:p>
            <w:pPr>
              <w:pStyle w:val="Compact"/>
              <w:jc w:val="left"/>
            </w:pPr>
            <w:r>
              <w:t xml:space="preserve">Accommodation Allowance (Medical Researcher, 2-bedroom apartment, Japan Osaka)</w:t>
            </w:r>
          </w:p>
        </w:tc>
        <w:tc>
          <w:tcPr/>
          <w:p>
            <w:pPr>
              <w:pStyle w:val="Compact"/>
              <w:jc w:val="left"/>
            </w:pPr>
            <w:r>
              <w:t xml:space="preserve">12 months</w:t>
            </w:r>
          </w:p>
        </w:tc>
        <w:tc>
          <w:tcPr/>
          <w:p>
            <w:pPr>
              <w:pStyle w:val="Compact"/>
              <w:jc w:val="left"/>
            </w:pPr>
            <w:r>
              <w:t xml:space="preserve">3,600,000</w:t>
            </w:r>
          </w:p>
        </w:tc>
        <w:tc>
          <w:tcPr/>
          <w:p>
            <w:pPr>
              <w:pStyle w:val="Compact"/>
              <w:jc w:val="left"/>
            </w:pPr>
            <w:r>
              <w:t xml:space="preserve">3,600,000</w:t>
            </w:r>
          </w:p>
        </w:tc>
        <w:tc>
          <w:tcPr/>
          <w:p>
            <w:pPr>
              <w:pStyle w:val="Compact"/>
              <w:jc w:val="left"/>
            </w:pPr>
            <w:r>
              <w:t xml:space="preserve">24,000</w:t>
            </w:r>
          </w:p>
        </w:tc>
      </w:tr>
      <w:tr>
        <w:tc>
          <w:tcPr/>
          <w:p>
            <w:pPr>
              <w:pStyle w:val="Compact"/>
              <w:jc w:val="left"/>
            </w:pPr>
            <w:r>
              <w:t xml:space="preserve">7</w:t>
            </w:r>
          </w:p>
        </w:tc>
        <w:tc>
          <w:tcPr/>
          <w:p>
            <w:pPr>
              <w:pStyle w:val="Compact"/>
              <w:jc w:val="left"/>
            </w:pPr>
            <w:r>
              <w:t xml:space="preserve">Health Insurance and Occupational Liability Coverage (Japan Osaka jurisdiction)</w:t>
            </w:r>
          </w:p>
        </w:tc>
        <w:tc>
          <w:tcPr/>
          <w:p>
            <w:pPr>
              <w:pStyle w:val="Compact"/>
              <w:jc w:val="left"/>
            </w:pPr>
            <w:r>
              <w:t xml:space="preserve">12 months</w:t>
            </w:r>
          </w:p>
        </w:tc>
        <w:tc>
          <w:tcPr/>
          <w:p>
            <w:pPr>
              <w:pStyle w:val="Compact"/>
              <w:jc w:val="left"/>
            </w:pPr>
            <w:r>
              <w:t xml:space="preserve">1,450,000</w:t>
            </w:r>
          </w:p>
        </w:tc>
        <w:tc>
          <w:tcPr/>
          <w:p>
            <w:pPr>
              <w:pStyle w:val="Compact"/>
              <w:jc w:val="left"/>
            </w:pPr>
            <w:r>
              <w:t xml:space="preserve">1,450,000</w:t>
            </w:r>
          </w:p>
        </w:tc>
        <w:tc>
          <w:tcPr/>
          <w:p>
            <w:pPr>
              <w:pStyle w:val="Compact"/>
              <w:jc w:val="left"/>
            </w:pPr>
            <w:r>
              <w:t xml:space="preserve">9,667</w:t>
            </w:r>
          </w:p>
        </w:tc>
      </w:tr>
      <w:tr>
        <w:tc>
          <w:tcPr/>
          <w:p>
            <w:pPr>
              <w:pStyle w:val="Compact"/>
              <w:jc w:val="left"/>
            </w:pPr>
            <w:r>
              <w:t xml:space="preserve">8</w:t>
            </w:r>
          </w:p>
        </w:tc>
        <w:tc>
          <w:tcPr/>
          <w:p>
            <w:pPr>
              <w:pStyle w:val="Compact"/>
              <w:jc w:val="left"/>
            </w:pPr>
            <w:r>
              <w:t xml:space="preserve">Conference Travel and Presentation Fees (Osaka International Medical Research Symposium)</w:t>
            </w:r>
          </w:p>
        </w:tc>
        <w:tc>
          <w:tcPr/>
          <w:p>
            <w:pPr>
              <w:pStyle w:val="Compact"/>
              <w:jc w:val="left"/>
            </w:pPr>
            <w:r>
              <w:t xml:space="preserve">Annual</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6,333</w:t>
            </w:r>
          </w:p>
        </w:tc>
      </w:tr>
      <w:tr>
        <w:tc>
          <w:tcPr/>
          <w:p>
            <w:pPr>
              <w:pStyle w:val="Compact"/>
              <w:jc w:val="left"/>
            </w:pPr>
            <w:r>
              <w:t xml:space="preserve">9</w:t>
            </w:r>
          </w:p>
        </w:tc>
        <w:tc>
          <w:tcPr/>
          <w:p>
            <w:pPr>
              <w:pStyle w:val="Compact"/>
              <w:jc w:val="left"/>
            </w:pPr>
            <w:r>
              <w:t xml:space="preserve">Publication and Open-Access Journal Fees</w:t>
            </w:r>
          </w:p>
        </w:tc>
        <w:tc>
          <w:tcPr/>
          <w:p>
            <w:pPr>
              <w:pStyle w:val="Compact"/>
              <w:jc w:val="left"/>
            </w:pPr>
            <w:r>
              <w:t xml:space="preserve">12 months</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4,800</w:t>
            </w:r>
          </w:p>
        </w:tc>
      </w:tr>
      <w:tr>
        <w:tc>
          <w:tcPr/>
          <w:p>
            <w:pPr>
              <w:pStyle w:val="Compact"/>
              <w:jc w:val="left"/>
            </w:pPr>
            <w:r>
              <w:t xml:space="preserve">10</w:t>
            </w:r>
          </w:p>
        </w:tc>
        <w:tc>
          <w:tcPr/>
          <w:p>
            <w:pPr>
              <w:pStyle w:val="Compact"/>
              <w:jc w:val="left"/>
            </w:pPr>
            <w:r>
              <w:t xml:space="preserve">Administrative and Project Management Overhead (10%)</w:t>
            </w:r>
          </w:p>
        </w:tc>
        <w:tc>
          <w:tcPr/>
          <w:p>
            <w:pPr>
              <w:pStyle w:val="Compact"/>
              <w:jc w:val="left"/>
            </w:pPr>
            <w:r>
              <w:t xml:space="preserve">12 months</w:t>
            </w:r>
          </w:p>
        </w:tc>
        <w:tc>
          <w:tcPr/>
          <w:p>
            <w:pPr>
              <w:pStyle w:val="Compact"/>
              <w:jc w:val="left"/>
            </w:pPr>
            <w:r>
              <w:t xml:space="preserve">4,827,000</w:t>
            </w:r>
          </w:p>
        </w:tc>
        <w:tc>
          <w:tcPr/>
          <w:p>
            <w:pPr>
              <w:pStyle w:val="Compact"/>
              <w:jc w:val="left"/>
            </w:pPr>
            <w:r>
              <w:t xml:space="preserve">4,827,000</w:t>
            </w:r>
          </w:p>
        </w:tc>
        <w:tc>
          <w:tcPr/>
          <w:p>
            <w:pPr>
              <w:pStyle w:val="Compact"/>
              <w:jc w:val="left"/>
            </w:pPr>
            <w:r>
              <w:t xml:space="preserve">32,180</w:t>
            </w:r>
          </w:p>
        </w:tc>
      </w:tr>
      <w:tr>
        <w:tc>
          <w:tcPr>
            <w:gridSpan w:val="4"/>
          </w:tcPr>
          <w:p>
            <w:pPr>
              <w:pStyle w:val="Compact"/>
              <w:jc w:val="left"/>
            </w:pPr>
            <w:r>
              <w:rPr>
                <w:bCs/>
                <w:b/>
              </w:rPr>
              <w:t xml:space="preserve">GRAND TOTAL (Quotation Estimate)</w:t>
            </w:r>
          </w:p>
        </w:tc>
        <w:tc>
          <w:tcPr/>
          <w:p>
            <w:pPr>
              <w:pStyle w:val="Compact"/>
              <w:jc w:val="left"/>
            </w:pPr>
            <w:r>
              <w:rPr>
                <w:bCs/>
                <w:b/>
              </w:rPr>
              <w:t xml:space="preserve">53,097,000</w:t>
            </w:r>
          </w:p>
        </w:tc>
        <w:tc>
          <w:tcPr/>
          <w:p>
            <w:pPr>
              <w:pStyle w:val="Compact"/>
              <w:jc w:val="left"/>
            </w:pPr>
            <w:r>
              <w:rPr>
                <w:bCs/>
                <w:b/>
              </w:rPr>
              <w:t xml:space="preserve">353,913</w:t>
            </w:r>
          </w:p>
        </w:tc>
      </w:tr>
    </w:tbl>
    <w:p>
      <w:pPr>
        <w:pStyle w:val="BodyText"/>
      </w:pPr>
      <w:r>
        <w:t xml:space="preserve">4. Payment Schedule</w:t>
      </w:r>
    </w:p>
    <w:p>
      <w:pPr>
        <w:pStyle w:val="BodyText"/>
      </w:pPr>
      <w:r>
        <w:t xml:space="preserve">This Quotation Estimate stipulates the following payment milestones for the Medical Researcher engagement in Japan Osaka:</w:t>
      </w:r>
    </w:p>
    <w:p>
      <w:pPr>
        <w:numPr>
          <w:ilvl w:val="0"/>
          <w:numId w:val="1001"/>
        </w:numPr>
        <w:pStyle w:val="Compact"/>
      </w:pPr>
      <w:r>
        <w:rPr>
          <w:bCs/>
          <w:b/>
        </w:rPr>
        <w:t xml:space="preserve">30% Advance Payment (JPY 15,929,100):</w:t>
      </w:r>
      <w:r>
        <w:t xml:space="preserve"> </w:t>
      </w:r>
      <w:r>
        <w:t xml:space="preserve">Due within fourteen (14) calendar days of formal acceptance of this Quotation Estimate, prior to the Medical Researcher commencing duties.</w:t>
      </w:r>
    </w:p>
    <w:p>
      <w:pPr>
        <w:numPr>
          <w:ilvl w:val="0"/>
          <w:numId w:val="1001"/>
        </w:numPr>
        <w:pStyle w:val="Compact"/>
      </w:pPr>
      <w:r>
        <w:rPr>
          <w:bCs/>
          <w:b/>
        </w:rPr>
        <w:t xml:space="preserve">40% Mid-Project Payment (JPY 21,238,800):</w:t>
      </w:r>
      <w:r>
        <w:t xml:space="preserve"> </w:t>
      </w:r>
      <w:r>
        <w:t xml:space="preserve">Due at the completion of Month Six, contingent upon submission of the interim research progress report to the Principal Investigator.</w:t>
      </w:r>
    </w:p>
    <w:p>
      <w:pPr>
        <w:numPr>
          <w:ilvl w:val="0"/>
          <w:numId w:val="1001"/>
        </w:numPr>
        <w:pStyle w:val="Compact"/>
      </w:pPr>
      <w:r>
        <w:rPr>
          <w:bCs/>
          <w:b/>
        </w:rPr>
        <w:t xml:space="preserve">30% Final Payment (JPY 15,929,100):</w:t>
      </w:r>
      <w:r>
        <w:t xml:space="preserve"> </w:t>
      </w:r>
      <w:r>
        <w:t xml:space="preserve">Due upon successful completion of the twelve-month research programme and delivery of the final comprehensive report, including all raw data, statistical analyses, and published manuscripts.</w:t>
      </w:r>
    </w:p>
    <w:p>
      <w:pPr>
        <w:pStyle w:val="FirstParagraph"/>
      </w:pPr>
      <w:r>
        <w:t xml:space="preserve">5. Terms and Conditions</w:t>
      </w:r>
    </w:p>
    <w:p>
      <w:pPr>
        <w:numPr>
          <w:ilvl w:val="0"/>
          <w:numId w:val="1002"/>
        </w:numPr>
        <w:pStyle w:val="Compact"/>
      </w:pPr>
      <w:r>
        <w:t xml:space="preserve">This Quotation Estimate is valid for a period of ninety (90) days from the date of issue. Beyond this period, all costs associated with the Medical Researcher engagement in Japan Osaka are subject to revision based on prevailing market rates and exchange fluctuations.</w:t>
      </w:r>
    </w:p>
    <w:p>
      <w:pPr>
        <w:numPr>
          <w:ilvl w:val="0"/>
          <w:numId w:val="1002"/>
        </w:numPr>
        <w:pStyle w:val="Compact"/>
      </w:pPr>
      <w:r>
        <w:t xml:space="preserve">All payments referenced in this Quotation Estimate shall be made via wire transfer to the designated account of the Osaka Metropolitan Biomedical Institute. The exchange rate applied is 150 JPY per 1 USD, as of the date of issue.</w:t>
      </w:r>
    </w:p>
    <w:p>
      <w:pPr>
        <w:numPr>
          <w:ilvl w:val="0"/>
          <w:numId w:val="1002"/>
        </w:numPr>
        <w:pStyle w:val="Compact"/>
      </w:pPr>
      <w:r>
        <w:t xml:space="preserve">The Medical Researcher shall be bound by a strict Non-Disclosure Agreement (NDA) and Intellectual Property Assignment Agreement, ensuring that all research findings, data, and methodologies developed during the engagement in Japan Osaka remain the exclusive property of the client institution.</w:t>
      </w:r>
    </w:p>
    <w:p>
      <w:pPr>
        <w:numPr>
          <w:ilvl w:val="0"/>
          <w:numId w:val="1002"/>
        </w:numPr>
        <w:pStyle w:val="Compact"/>
      </w:pPr>
      <w:r>
        <w:t xml:space="preserve">Any scope modification, extension of the research period, or addition of supplementary services beyond those outlined in this Quotation Estimate shall require a formal written amendment signed by both parties.</w:t>
      </w:r>
    </w:p>
    <w:p>
      <w:pPr>
        <w:numPr>
          <w:ilvl w:val="0"/>
          <w:numId w:val="1002"/>
        </w:numPr>
        <w:pStyle w:val="Compact"/>
      </w:pPr>
      <w:r>
        <w:t xml:space="preserve">This Quotation Estimate is governed by the laws of Japan, with jurisdiction vested in the Osaka District Court. Any disputes arising from the interpretation or execution of this document shall be resolved through mediation in Japan Osaka before proceeding to litigation.</w:t>
      </w:r>
    </w:p>
    <w:p>
      <w:pPr>
        <w:numPr>
          <w:ilvl w:val="0"/>
          <w:numId w:val="1002"/>
        </w:numPr>
        <w:pStyle w:val="Compact"/>
      </w:pPr>
      <w:r>
        <w:t xml:space="preserve">The Medical Researcher is required to maintain professional liability insurance with a minimum coverage of JPY 100,000,000 throughout the duration of the engagement in Japan Osaka.</w:t>
      </w:r>
    </w:p>
    <w:p>
      <w:pPr>
        <w:pStyle w:val="FirstParagraph"/>
      </w:pPr>
      <w:r>
        <w:t xml:space="preserve">6. Acceptance and Authorization</w:t>
      </w:r>
    </w:p>
    <w:p>
      <w:pPr>
        <w:pStyle w:val="BodyText"/>
      </w:pPr>
      <w:r>
        <w:t xml:space="preserve">By signing below, both parties acknowledge and agree to the terms, conditions, and financial obligations set forth in this Quotation Estimate for the Medical Researcher services to be delivered in Japan Osaka.</w:t>
      </w:r>
    </w:p>
    <w:p>
      <w:pPr>
        <w:pStyle w:val="BodyText"/>
      </w:pPr>
      <w:r>
        <w:rPr>
          <w:bCs/>
          <w:b/>
        </w:rPr>
        <w:t xml:space="preserve">For the Client:</w:t>
      </w:r>
    </w:p>
    <w:p>
      <w:pPr>
        <w:pStyle w:val="BodyText"/>
      </w:pPr>
      <w:r>
        <w:t xml:space="preserve">Osaka Metropolitan Biomedical Institute</w:t>
      </w:r>
    </w:p>
    <w:p>
      <w:pPr>
        <w:pStyle w:val="BodyText"/>
      </w:pPr>
      <w:r>
        <w:t xml:space="preserve">Name: Prof. Yuki Morimoto</w:t>
      </w:r>
    </w:p>
    <w:p>
      <w:pPr>
        <w:pStyle w:val="BodyText"/>
      </w:pPr>
      <w:r>
        <w:t xml:space="preserve">Title: Director of Research</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Service Provider:</w:t>
      </w:r>
    </w:p>
    <w:p>
      <w:pPr>
        <w:pStyle w:val="BodyText"/>
      </w:pPr>
      <w:r>
        <w:t xml:space="preserve">Dr. Kenji Tanaka, Senior Consultant</w:t>
      </w:r>
    </w:p>
    <w:p>
      <w:pPr>
        <w:pStyle w:val="BodyText"/>
      </w:pPr>
      <w:r>
        <w:t xml:space="preserve">Name: Dr. Kenji Tanaka</w:t>
      </w:r>
    </w:p>
    <w:p>
      <w:pPr>
        <w:pStyle w:val="BodyText"/>
      </w:pPr>
      <w:r>
        <w:t xml:space="preserve">Title: Lead Medical Researcher</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(Ref: QE-JO-2025-04782) is a confidential document prepared exclusively for the Osaka Metropolitan Biomedical Institute regarding the engagement of a Medical Researcher in Japan Osaka. Unauthorized reproduction or distribution is strictly prohibited. © 2025 Osaka Metropolitan Biomedical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Japan Osaka</dc:title>
  <dc:creator/>
  <dc:language>en</dc:language>
  <cp:keywords/>
  <dcterms:created xsi:type="dcterms:W3CDTF">2026-10-10T03:52:23Z</dcterms:created>
  <dcterms:modified xsi:type="dcterms:W3CDTF">2026-10-10T03:52:23Z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