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Medical</w:t>
      </w:r>
      <w:r>
        <w:t xml:space="preserve"> </w:t>
      </w:r>
      <w:r>
        <w:t xml:space="preserve">Researcher</w:t>
      </w:r>
      <w:r>
        <w:t xml:space="preserve"> </w:t>
      </w:r>
      <w:r>
        <w:t xml:space="preserve">Services</w:t>
      </w:r>
      <w:r>
        <w:t xml:space="preserve"> </w:t>
      </w:r>
      <w:r>
        <w:t xml:space="preserve">-</w:t>
      </w:r>
      <w:r>
        <w:t xml:space="preserve"> </w:t>
      </w:r>
      <w:r>
        <w:t xml:space="preserve">Japan</w:t>
      </w:r>
      <w:r>
        <w:t xml:space="preserve"> </w:t>
      </w:r>
      <w:r>
        <w:t xml:space="preserve">Tokyo</w:t>
      </w:r>
    </w:p>
    <w:bookmarkStart w:id="20" w:name="globalmed-research-partners-ltd."/>
    <w:p>
      <w:pPr>
        <w:pStyle w:val="Heading1"/>
      </w:pPr>
      <w:r>
        <w:t xml:space="preserve">GlobalMed Research Partners Ltd.</w:t>
      </w:r>
    </w:p>
    <w:p>
      <w:pPr>
        <w:pStyle w:val="FirstParagraph"/>
      </w:pPr>
      <w:r>
        <w:t xml:space="preserve">12-4 Roppongi Hills, Minato-ku, Tokyo 106-6060, Japan</w:t>
      </w:r>
    </w:p>
    <w:p>
      <w:pPr>
        <w:pStyle w:val="BodyText"/>
      </w:pPr>
      <w:r>
        <w:t xml:space="preserve">Tel: +81-3-5400-7890 | Email: estimates@globalmedresearch.jp</w:t>
      </w:r>
    </w:p>
    <w:p>
      <w:pPr>
        <w:pStyle w:val="BodyText"/>
      </w:pPr>
      <w:r>
        <w:t xml:space="preserve">Corporate Registration No. JP-2019-44821 | VAT: 40-1-12345-6789</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QTE-2025-TKY-00472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September 2025</w:t>
      </w:r>
    </w:p>
    <w:p>
      <w:pPr>
        <w:pStyle w:val="BodyText"/>
      </w:pPr>
      <w:r>
        <w:rPr>
          <w:bCs/>
          <w:b/>
        </w:rPr>
        <w:t xml:space="preserve">Prepared By:</w:t>
      </w:r>
      <w:r>
        <w:t xml:space="preserve"> </w:t>
      </w:r>
      <w:r>
        <w:t xml:space="preserve">Dr. Kenji Tanaka, Senior Account Manager</w:t>
      </w:r>
    </w:p>
    <w:bookmarkEnd w:id="21"/>
    <w:bookmarkStart w:id="22" w:name="client-information"/>
    <w:p>
      <w:pPr>
        <w:pStyle w:val="Heading3"/>
      </w:pPr>
      <w:r>
        <w:t xml:space="preserve">Client Information</w:t>
      </w:r>
    </w:p>
    <w:p>
      <w:pPr>
        <w:pStyle w:val="FirstParagraph"/>
      </w:pPr>
      <w:r>
        <w:rPr>
          <w:bCs/>
          <w:b/>
        </w:rPr>
        <w:t xml:space="preserve">Client:</w:t>
      </w:r>
      <w:r>
        <w:t xml:space="preserve"> </w:t>
      </w:r>
      <w:r>
        <w:t xml:space="preserve">National Institute of Advanced Biomedical Sciences</w:t>
      </w:r>
    </w:p>
    <w:p>
      <w:pPr>
        <w:pStyle w:val="BodyText"/>
      </w:pPr>
      <w:r>
        <w:rPr>
          <w:bCs/>
          <w:b/>
        </w:rPr>
        <w:t xml:space="preserve">Address:</w:t>
      </w:r>
      <w:r>
        <w:t xml:space="preserve"> </w:t>
      </w:r>
      <w:r>
        <w:t xml:space="preserve">1-1-1 Kasumigaseki, Chiyoda-ku, Tokyo 100-0013, Japan</w:t>
      </w:r>
    </w:p>
    <w:p>
      <w:pPr>
        <w:pStyle w:val="BodyText"/>
      </w:pPr>
      <w:r>
        <w:rPr>
          <w:bCs/>
          <w:b/>
        </w:rPr>
        <w:t xml:space="preserve">Contact:</w:t>
      </w:r>
      <w:r>
        <w:t xml:space="preserve"> </w:t>
      </w:r>
      <w:r>
        <w:t xml:space="preserve">Prof. Yuki Matsuda, Director of Research</w:t>
      </w:r>
    </w:p>
    <w:p>
      <w:pPr>
        <w:pStyle w:val="BodyText"/>
      </w:pPr>
      <w:r>
        <w:rPr>
          <w:bCs/>
          <w:b/>
        </w:rPr>
        <w:t xml:space="preserve">Project Ref:</w:t>
      </w:r>
      <w:r>
        <w:t xml:space="preserve"> </w:t>
      </w:r>
      <w:r>
        <w:t xml:space="preserve">NIBS-2025-ONCO-0341</w:t>
      </w:r>
    </w:p>
    <w:bookmarkEnd w:id="22"/>
    <w:p>
      <w:pPr>
        <w:pStyle w:val="BodyText"/>
      </w:pPr>
      <w:r>
        <w:t xml:space="preserve">This</w:t>
      </w:r>
      <w:r>
        <w:t xml:space="preserve"> </w:t>
      </w:r>
      <w:r>
        <w:t xml:space="preserve">Quotation Estimate</w:t>
      </w:r>
      <w:r>
        <w:t xml:space="preserve"> </w:t>
      </w:r>
      <w:r>
        <w:t xml:space="preserve">is issued by GlobalMed Research Partners Ltd. in response to the formal request for professional engagement of a qualified</w:t>
      </w:r>
      <w:r>
        <w:t xml:space="preserve"> </w:t>
      </w:r>
      <w:r>
        <w:t xml:space="preserve">Medical Researcher</w:t>
      </w:r>
      <w:r>
        <w:t xml:space="preserve"> </w:t>
      </w:r>
      <w:r>
        <w:t xml:space="preserve">to conduct advanced oncology and immunotherapy studies within the metropolitan region of</w:t>
      </w:r>
      <w:r>
        <w:t xml:space="preserve"> </w:t>
      </w:r>
      <w:r>
        <w:t xml:space="preserve">Japan Tokyo</w:t>
      </w:r>
      <w:r>
        <w:t xml:space="preserve">. This document outlines the complete scope of services, associated costs, deliverables, and contractual terms governing the proposed engagement. All pricing is denominated in Japanese Yen (JPY) unless otherwise specified, and this</w:t>
      </w:r>
      <w:r>
        <w:t xml:space="preserve"> </w:t>
      </w:r>
      <w:r>
        <w:t xml:space="preserve">Quotation Estimate</w:t>
      </w:r>
      <w:r>
        <w:t xml:space="preserve"> </w:t>
      </w:r>
      <w:r>
        <w:t xml:space="preserve">reflects current market rates applicable to the</w:t>
      </w:r>
      <w:r>
        <w:t xml:space="preserve"> </w:t>
      </w:r>
      <w:r>
        <w:t xml:space="preserve">Japan Tokyo</w:t>
      </w:r>
      <w:r>
        <w:t xml:space="preserve"> </w:t>
      </w:r>
      <w:r>
        <w:t xml:space="preserve">research sector as of the date of issuance.</w:t>
      </w:r>
    </w:p>
    <w:bookmarkStart w:id="23" w:name="Xb1e69cda2657fb3522d5f06f68500be55311324"/>
    <w:p>
      <w:pPr>
        <w:pStyle w:val="Heading2"/>
      </w:pPr>
      <w:r>
        <w:t xml:space="preserve">1. Scope of Services – Medical Researcher Engagement</w:t>
      </w:r>
    </w:p>
    <w:p>
      <w:pPr>
        <w:pStyle w:val="FirstParagraph"/>
      </w:pPr>
      <w:r>
        <w:t xml:space="preserve">The proposed engagement involves the full-time deployment of a senior</w:t>
      </w:r>
      <w:r>
        <w:t xml:space="preserve"> </w:t>
      </w:r>
      <w:r>
        <w:t xml:space="preserve">Medical Researcher</w:t>
      </w:r>
      <w:r>
        <w:t xml:space="preserve"> </w:t>
      </w:r>
      <w:r>
        <w:t xml:space="preserve">with a minimum of fifteen (15) years of post-doctoral experience in molecular oncology, clinical trial design, and immunotherapy research. The</w:t>
      </w:r>
      <w:r>
        <w:t xml:space="preserve"> </w:t>
      </w:r>
      <w:r>
        <w:t xml:space="preserve">Medical Researcher</w:t>
      </w:r>
      <w:r>
        <w:t xml:space="preserve"> </w:t>
      </w:r>
      <w:r>
        <w:t xml:space="preserve">will be based at the client's primary laboratory facility located in the Bunkyo-ku district of</w:t>
      </w:r>
      <w:r>
        <w:t xml:space="preserve"> </w:t>
      </w:r>
      <w:r>
        <w:t xml:space="preserve">Japan Tokyo</w:t>
      </w:r>
      <w:r>
        <w:t xml:space="preserve"> </w:t>
      </w:r>
      <w:r>
        <w:t xml:space="preserve">and will operate under the direct supervision of the client's Chief Scientific Officer. The scope encompasses the following core responsibilities:</w:t>
      </w:r>
    </w:p>
    <w:p>
      <w:pPr>
        <w:numPr>
          <w:ilvl w:val="0"/>
          <w:numId w:val="1001"/>
        </w:numPr>
        <w:pStyle w:val="Compact"/>
      </w:pPr>
      <w:r>
        <w:t xml:space="preserve">Design and execution of Phase I and Phase II clinical research protocols focused on novel checkpoint inhibitor therapies.</w:t>
      </w:r>
    </w:p>
    <w:p>
      <w:pPr>
        <w:numPr>
          <w:ilvl w:val="0"/>
          <w:numId w:val="1001"/>
        </w:numPr>
        <w:pStyle w:val="Compact"/>
      </w:pPr>
      <w:r>
        <w:t xml:space="preserve">Supervision of a team of no more than six (6) junior research associates and laboratory technicians stationed in</w:t>
      </w:r>
      <w:r>
        <w:t xml:space="preserve"> </w:t>
      </w:r>
      <w:r>
        <w:t xml:space="preserve">Japan Tokyo</w:t>
      </w:r>
      <w:r>
        <w:t xml:space="preserve">.</w:t>
      </w:r>
    </w:p>
    <w:p>
      <w:pPr>
        <w:numPr>
          <w:ilvl w:val="0"/>
          <w:numId w:val="1001"/>
        </w:numPr>
        <w:pStyle w:val="Compact"/>
      </w:pPr>
      <w:r>
        <w:t xml:space="preserve">Conduct of weekly peer-review sessions with the client's internal scientific advisory board.</w:t>
      </w:r>
    </w:p>
    <w:p>
      <w:pPr>
        <w:numPr>
          <w:ilvl w:val="0"/>
          <w:numId w:val="1001"/>
        </w:numPr>
        <w:pStyle w:val="Compact"/>
      </w:pPr>
      <w:r>
        <w:t xml:space="preserve">Preparation of regulatory submissions compliant with the Pharmaceuticals and Medical Devices Agency (PMDA) of Japan.</w:t>
      </w:r>
    </w:p>
    <w:p>
      <w:pPr>
        <w:numPr>
          <w:ilvl w:val="0"/>
          <w:numId w:val="1001"/>
        </w:numPr>
        <w:pStyle w:val="Compact"/>
      </w:pPr>
      <w:r>
        <w:t xml:space="preserve">Authorship and co-authorship of a minimum of four (4) peer-reviewed journal publications per annum.</w:t>
      </w:r>
    </w:p>
    <w:p>
      <w:pPr>
        <w:numPr>
          <w:ilvl w:val="0"/>
          <w:numId w:val="1001"/>
        </w:numPr>
        <w:pStyle w:val="Compact"/>
      </w:pPr>
      <w:r>
        <w:t xml:space="preserve">Representation of the client at no fewer than three (3) international medical conferences held within the</w:t>
      </w:r>
      <w:r>
        <w:t xml:space="preserve"> </w:t>
      </w:r>
      <w:r>
        <w:t xml:space="preserve">Japan Tokyo</w:t>
      </w:r>
      <w:r>
        <w:t xml:space="preserve"> </w:t>
      </w:r>
      <w:r>
        <w:t xml:space="preserve">metropolitan area or abroad.</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Cost (JPY)</w:t>
            </w:r>
          </w:p>
        </w:tc>
        <w:tc>
          <w:tcPr/>
          <w:p>
            <w:pPr>
              <w:pStyle w:val="Compact"/>
              <w:jc w:val="left"/>
            </w:pPr>
            <w:r>
              <w:t xml:space="preserve">Quantity</w:t>
            </w:r>
          </w:p>
        </w:tc>
        <w:tc>
          <w:tcPr/>
          <w:p>
            <w:pPr>
              <w:pStyle w:val="Compact"/>
              <w:jc w:val="left"/>
            </w:pPr>
            <w:r>
              <w:t xml:space="preserve">Subtotal (JPY)</w:t>
            </w:r>
          </w:p>
        </w:tc>
      </w:tr>
      <w:tr>
        <w:tc>
          <w:tcPr/>
          <w:p>
            <w:pPr>
              <w:pStyle w:val="Compact"/>
              <w:jc w:val="left"/>
            </w:pPr>
            <w:r>
              <w:t xml:space="preserve">01</w:t>
            </w:r>
          </w:p>
        </w:tc>
        <w:tc>
          <w:tcPr/>
          <w:p>
            <w:pPr>
              <w:pStyle w:val="Compact"/>
              <w:jc w:val="left"/>
            </w:pPr>
            <w:r>
              <w:t xml:space="preserve">Senior Medical Researcher – Monthly Professional Fee (includes salary, social insurance, and statutory benefits under Japanese labor law)</w:t>
            </w:r>
          </w:p>
        </w:tc>
        <w:tc>
          <w:tcPr/>
          <w:p>
            <w:pPr>
              <w:pStyle w:val="Compact"/>
              <w:jc w:val="left"/>
            </w:pPr>
            <w:r>
              <w:t xml:space="preserve">12 months</w:t>
            </w:r>
          </w:p>
        </w:tc>
        <w:tc>
          <w:tcPr/>
          <w:p>
            <w:pPr>
              <w:pStyle w:val="Compact"/>
              <w:jc w:val="left"/>
            </w:pPr>
            <w:r>
              <w:t xml:space="preserve">1,850,000</w:t>
            </w:r>
          </w:p>
        </w:tc>
        <w:tc>
          <w:tcPr/>
          <w:p>
            <w:pPr>
              <w:pStyle w:val="Compact"/>
              <w:jc w:val="left"/>
            </w:pPr>
            <w:r>
              <w:t xml:space="preserve">12</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Research Laboratory Access &amp; Equipment Allocation (Bunkyo-ku facility,</w:t>
            </w:r>
            <w:r>
              <w:t xml:space="preserve"> </w:t>
            </w:r>
            <w:r>
              <w:t xml:space="preserve">Japan Tokyo</w:t>
            </w:r>
            <w:r>
              <w:t xml:space="preserve">)</w:t>
            </w:r>
          </w:p>
        </w:tc>
        <w:tc>
          <w:tcPr/>
          <w:p>
            <w:pPr>
              <w:pStyle w:val="Compact"/>
              <w:jc w:val="left"/>
            </w:pPr>
            <w:r>
              <w:t xml:space="preserve">12 months</w:t>
            </w:r>
          </w:p>
        </w:tc>
        <w:tc>
          <w:tcPr/>
          <w:p>
            <w:pPr>
              <w:pStyle w:val="Compact"/>
              <w:jc w:val="left"/>
            </w:pPr>
            <w:r>
              <w:t xml:space="preserve">420,000</w:t>
            </w:r>
          </w:p>
        </w:tc>
        <w:tc>
          <w:tcPr/>
          <w:p>
            <w:pPr>
              <w:pStyle w:val="Compact"/>
              <w:jc w:val="left"/>
            </w:pPr>
            <w:r>
              <w:t xml:space="preserve">12</w:t>
            </w:r>
          </w:p>
        </w:tc>
        <w:tc>
          <w:tcPr/>
          <w:p>
            <w:pPr>
              <w:pStyle w:val="Compact"/>
              <w:jc w:val="left"/>
            </w:pPr>
            <w:r>
              <w:t xml:space="preserve">5,040,000</w:t>
            </w:r>
          </w:p>
        </w:tc>
      </w:tr>
      <w:tr>
        <w:tc>
          <w:tcPr/>
          <w:p>
            <w:pPr>
              <w:pStyle w:val="Compact"/>
              <w:jc w:val="left"/>
            </w:pPr>
            <w:r>
              <w:t xml:space="preserve">03</w:t>
            </w:r>
          </w:p>
        </w:tc>
        <w:tc>
          <w:tcPr/>
          <w:p>
            <w:pPr>
              <w:pStyle w:val="Compact"/>
              <w:jc w:val="left"/>
            </w:pPr>
            <w:r>
              <w:t xml:space="preserve">Clinical Trial Data Management &amp; Biostatistical Analysis Support</w:t>
            </w:r>
          </w:p>
        </w:tc>
        <w:tc>
          <w:tcPr/>
          <w:p>
            <w:pPr>
              <w:pStyle w:val="Compact"/>
              <w:jc w:val="left"/>
            </w:pPr>
            <w:r>
              <w:t xml:space="preserve">12 months</w:t>
            </w:r>
          </w:p>
        </w:tc>
        <w:tc>
          <w:tcPr/>
          <w:p>
            <w:pPr>
              <w:pStyle w:val="Compact"/>
              <w:jc w:val="left"/>
            </w:pPr>
            <w:r>
              <w:t xml:space="preserve">280,000</w:t>
            </w:r>
          </w:p>
        </w:tc>
        <w:tc>
          <w:tcPr/>
          <w:p>
            <w:pPr>
              <w:pStyle w:val="Compact"/>
              <w:jc w:val="left"/>
            </w:pPr>
            <w:r>
              <w:t xml:space="preserve">12</w:t>
            </w:r>
          </w:p>
        </w:tc>
        <w:tc>
          <w:tcPr/>
          <w:p>
            <w:pPr>
              <w:pStyle w:val="Compact"/>
              <w:jc w:val="left"/>
            </w:pPr>
            <w:r>
              <w:t xml:space="preserve">3,360,000</w:t>
            </w:r>
          </w:p>
        </w:tc>
      </w:tr>
      <w:tr>
        <w:tc>
          <w:tcPr/>
          <w:p>
            <w:pPr>
              <w:pStyle w:val="Compact"/>
              <w:jc w:val="left"/>
            </w:pPr>
            <w:r>
              <w:t xml:space="preserve">04</w:t>
            </w:r>
          </w:p>
        </w:tc>
        <w:tc>
          <w:tcPr/>
          <w:p>
            <w:pPr>
              <w:pStyle w:val="Compact"/>
              <w:jc w:val="left"/>
            </w:pPr>
            <w:r>
              <w:t xml:space="preserve">Regulatory Compliance &amp; PMDA Filing Assistance</w:t>
            </w:r>
          </w:p>
        </w:tc>
        <w:tc>
          <w:tcPr/>
          <w:p>
            <w:pPr>
              <w:pStyle w:val="Compact"/>
              <w:jc w:val="left"/>
            </w:pPr>
            <w:r>
              <w:t xml:space="preserve">12 months</w:t>
            </w:r>
          </w:p>
        </w:tc>
        <w:tc>
          <w:tcPr/>
          <w:p>
            <w:pPr>
              <w:pStyle w:val="Compact"/>
              <w:jc w:val="left"/>
            </w:pPr>
            <w:r>
              <w:t xml:space="preserve">150,000</w:t>
            </w:r>
          </w:p>
        </w:tc>
        <w:tc>
          <w:tcPr/>
          <w:p>
            <w:pPr>
              <w:pStyle w:val="Compact"/>
              <w:jc w:val="left"/>
            </w:pPr>
            <w:r>
              <w:t xml:space="preserve">12</w:t>
            </w:r>
          </w:p>
        </w:tc>
        <w:tc>
          <w:tcPr/>
          <w:p>
            <w:pPr>
              <w:pStyle w:val="Compact"/>
              <w:jc w:val="left"/>
            </w:pPr>
            <w:r>
              <w:t xml:space="preserve">1,800,000</w:t>
            </w:r>
          </w:p>
        </w:tc>
      </w:tr>
      <w:tr>
        <w:tc>
          <w:tcPr/>
          <w:p>
            <w:pPr>
              <w:pStyle w:val="Compact"/>
              <w:jc w:val="left"/>
            </w:pPr>
            <w:r>
              <w:t xml:space="preserve">05</w:t>
            </w:r>
          </w:p>
        </w:tc>
        <w:tc>
          <w:tcPr/>
          <w:p>
            <w:pPr>
              <w:pStyle w:val="Compact"/>
              <w:jc w:val="left"/>
            </w:pPr>
            <w:r>
              <w:t xml:space="preserve">International Conference Travel &amp; Accommodation (3 events,</w:t>
            </w:r>
            <w:r>
              <w:t xml:space="preserve"> </w:t>
            </w:r>
            <w:r>
              <w:t xml:space="preserve">Japan Tokyo</w:t>
            </w:r>
            <w:r>
              <w:t xml:space="preserve"> </w:t>
            </w:r>
            <w:r>
              <w:t xml:space="preserve">origin)</w:t>
            </w:r>
          </w:p>
        </w:tc>
        <w:tc>
          <w:tcPr/>
          <w:p>
            <w:pPr>
              <w:pStyle w:val="Compact"/>
              <w:jc w:val="left"/>
            </w:pPr>
            <w:r>
              <w:t xml:space="preserve">Per event</w:t>
            </w:r>
          </w:p>
        </w:tc>
        <w:tc>
          <w:tcPr/>
          <w:p>
            <w:pPr>
              <w:pStyle w:val="Compact"/>
              <w:jc w:val="left"/>
            </w:pPr>
            <w:r>
              <w:t xml:space="preserve">850,000</w:t>
            </w:r>
          </w:p>
        </w:tc>
        <w:tc>
          <w:tcPr/>
          <w:p>
            <w:pPr>
              <w:pStyle w:val="Compact"/>
              <w:jc w:val="left"/>
            </w:pPr>
            <w:r>
              <w:t xml:space="preserve">3</w:t>
            </w:r>
          </w:p>
        </w:tc>
        <w:tc>
          <w:tcPr/>
          <w:p>
            <w:pPr>
              <w:pStyle w:val="Compact"/>
              <w:jc w:val="left"/>
            </w:pPr>
            <w:r>
              <w:t xml:space="preserve">2,550,000</w:t>
            </w:r>
          </w:p>
        </w:tc>
      </w:tr>
      <w:tr>
        <w:tc>
          <w:tcPr/>
          <w:p>
            <w:pPr>
              <w:pStyle w:val="Compact"/>
              <w:jc w:val="left"/>
            </w:pPr>
            <w:r>
              <w:t xml:space="preserve">06</w:t>
            </w:r>
          </w:p>
        </w:tc>
        <w:tc>
          <w:tcPr/>
          <w:p>
            <w:pPr>
              <w:pStyle w:val="Compact"/>
              <w:jc w:val="left"/>
            </w:pPr>
            <w:r>
              <w:t xml:space="preserve">Publication Fees, Open-Access Charges &amp; Copyright Licensing</w:t>
            </w:r>
          </w:p>
        </w:tc>
        <w:tc>
          <w:tcPr/>
          <w:p>
            <w:pPr>
              <w:pStyle w:val="Compact"/>
              <w:jc w:val="left"/>
            </w:pPr>
            <w:r>
              <w:t xml:space="preserve">Per publication</w:t>
            </w:r>
          </w:p>
        </w:tc>
        <w:tc>
          <w:tcPr/>
          <w:p>
            <w:pPr>
              <w:pStyle w:val="Compact"/>
              <w:jc w:val="left"/>
            </w:pPr>
            <w:r>
              <w:t xml:space="preserve">320,000</w:t>
            </w:r>
          </w:p>
        </w:tc>
        <w:tc>
          <w:tcPr/>
          <w:p>
            <w:pPr>
              <w:pStyle w:val="Compact"/>
              <w:jc w:val="left"/>
            </w:pPr>
            <w:r>
              <w:t xml:space="preserve">4</w:t>
            </w:r>
          </w:p>
        </w:tc>
        <w:tc>
          <w:tcPr/>
          <w:p>
            <w:pPr>
              <w:pStyle w:val="Compact"/>
              <w:jc w:val="left"/>
            </w:pPr>
            <w:r>
              <w:t xml:space="preserve">1,280,000</w:t>
            </w:r>
          </w:p>
        </w:tc>
      </w:tr>
      <w:tr>
        <w:tc>
          <w:tcPr/>
          <w:p>
            <w:pPr>
              <w:pStyle w:val="Compact"/>
              <w:jc w:val="left"/>
            </w:pPr>
            <w:r>
              <w:t xml:space="preserve">07</w:t>
            </w:r>
          </w:p>
        </w:tc>
        <w:tc>
          <w:tcPr/>
          <w:p>
            <w:pPr>
              <w:pStyle w:val="Compact"/>
              <w:jc w:val="left"/>
            </w:pPr>
            <w:r>
              <w:t xml:space="preserve">Project Management &amp; Administrative Oversight (GlobalMed Research Partners)</w:t>
            </w:r>
          </w:p>
        </w:tc>
        <w:tc>
          <w:tcPr/>
          <w:p>
            <w:pPr>
              <w:pStyle w:val="Compact"/>
              <w:jc w:val="left"/>
            </w:pPr>
            <w:r>
              <w:t xml:space="preserve">12 months</w:t>
            </w:r>
          </w:p>
        </w:tc>
        <w:tc>
          <w:tcPr/>
          <w:p>
            <w:pPr>
              <w:pStyle w:val="Compact"/>
              <w:jc w:val="left"/>
            </w:pPr>
            <w:r>
              <w:t xml:space="preserve">195,000</w:t>
            </w:r>
          </w:p>
        </w:tc>
        <w:tc>
          <w:tcPr/>
          <w:p>
            <w:pPr>
              <w:pStyle w:val="Compact"/>
              <w:jc w:val="left"/>
            </w:pPr>
            <w:r>
              <w:t xml:space="preserve">12</w:t>
            </w:r>
          </w:p>
        </w:tc>
        <w:tc>
          <w:tcPr/>
          <w:p>
            <w:pPr>
              <w:pStyle w:val="Compact"/>
              <w:jc w:val="left"/>
            </w:pPr>
            <w:r>
              <w:t xml:space="preserve">2,340,000</w:t>
            </w:r>
          </w:p>
        </w:tc>
      </w:tr>
      <w:tr>
        <w:tc>
          <w:tcPr/>
          <w:p>
            <w:pPr>
              <w:pStyle w:val="Compact"/>
              <w:jc w:val="left"/>
            </w:pPr>
            <w:r>
              <w:t xml:space="preserve">08</w:t>
            </w:r>
          </w:p>
        </w:tc>
        <w:tc>
          <w:tcPr/>
          <w:p>
            <w:pPr>
              <w:pStyle w:val="Compact"/>
              <w:jc w:val="left"/>
            </w:pPr>
            <w:r>
              <w:t xml:space="preserve">Contingency &amp; Unforeseen Research Expenditure (5% of items 01–07)</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1</w:t>
            </w:r>
          </w:p>
        </w:tc>
        <w:tc>
          <w:tcPr/>
          <w:p>
            <w:pPr>
              <w:pStyle w:val="Compact"/>
              <w:jc w:val="left"/>
            </w:pPr>
            <w:r>
              <w:t xml:space="preserve">2,167,000</w:t>
            </w:r>
          </w:p>
        </w:tc>
      </w:tr>
      <w:tr>
        <w:tc>
          <w:tcPr>
            <w:gridSpan w:val="5"/>
          </w:tcPr>
          <w:p>
            <w:pPr>
              <w:pStyle w:val="Compact"/>
              <w:jc w:val="left"/>
            </w:pPr>
            <w:r>
              <w:t xml:space="preserve">TOTAL ESTIMATED COST (JPY)</w:t>
            </w:r>
          </w:p>
        </w:tc>
        <w:tc>
          <w:tcPr/>
          <w:p>
            <w:pPr>
              <w:pStyle w:val="Compact"/>
              <w:jc w:val="left"/>
            </w:pPr>
            <w:r>
              <w:t xml:space="preserve">40,737,000</w:t>
            </w:r>
          </w:p>
        </w:tc>
      </w:tr>
      <w:tr>
        <w:tc>
          <w:tcPr>
            <w:gridSpan w:val="5"/>
          </w:tcPr>
          <w:p>
            <w:pPr>
              <w:pStyle w:val="Compact"/>
              <w:jc w:val="left"/>
            </w:pPr>
            <w:r>
              <w:t xml:space="preserve">Applicable Consumption Tax (10%)</w:t>
            </w:r>
          </w:p>
        </w:tc>
        <w:tc>
          <w:tcPr/>
          <w:p>
            <w:pPr>
              <w:pStyle w:val="Compact"/>
              <w:jc w:val="left"/>
            </w:pPr>
            <w:r>
              <w:t xml:space="preserve">4,073,700</w:t>
            </w:r>
          </w:p>
        </w:tc>
      </w:tr>
      <w:tr>
        <w:tc>
          <w:tcPr>
            <w:gridSpan w:val="5"/>
          </w:tcPr>
          <w:p>
            <w:pPr>
              <w:pStyle w:val="Compact"/>
              <w:jc w:val="left"/>
            </w:pPr>
            <w:r>
              <w:t xml:space="preserve">GRAND TOTAL (JPY)</w:t>
            </w:r>
          </w:p>
        </w:tc>
        <w:tc>
          <w:tcPr/>
          <w:p>
            <w:pPr>
              <w:pStyle w:val="Compact"/>
              <w:jc w:val="left"/>
            </w:pPr>
            <w:r>
              <w:t xml:space="preserve">44,810,700</w:t>
            </w:r>
          </w:p>
        </w:tc>
      </w:tr>
    </w:tbl>
    <w:bookmarkEnd w:id="24"/>
    <w:bookmarkStart w:id="25" w:name="payment-terms"/>
    <w:p>
      <w:pPr>
        <w:pStyle w:val="Heading2"/>
      </w:pPr>
      <w:r>
        <w:t xml:space="preserve">3. Payment Terms</w:t>
      </w:r>
    </w:p>
    <w:p>
      <w:pPr>
        <w:pStyle w:val="FirstParagraph"/>
      </w:pPr>
      <w:r>
        <w:t xml:space="preserve">Payment for the services described in this</w:t>
      </w:r>
      <w:r>
        <w:t xml:space="preserve"> </w:t>
      </w:r>
      <w:r>
        <w:t xml:space="preserve">Quotation Estimate</w:t>
      </w:r>
      <w:r>
        <w:t xml:space="preserve"> </w:t>
      </w:r>
      <w:r>
        <w:t xml:space="preserve">shall be made in quarterly installments, with the first payment due within thirty (30) calendar days of the contract execution date. Subsequent payments shall be due on the 1st of January, April, July, and October. All payments shall be remitted via bank transfer to the account designated by GlobalMed Research Partners Ltd. in</w:t>
      </w:r>
      <w:r>
        <w:t xml:space="preserve"> </w:t>
      </w:r>
      <w:r>
        <w:t xml:space="preserve">Japan Tokyo</w:t>
      </w:r>
      <w:r>
        <w:t xml:space="preserve">. Late payments shall incur a penalty interest rate of 1.5% per month, in accordance with the Japanese Late Payment of Compensation Act.</w:t>
      </w:r>
    </w:p>
    <w:bookmarkEnd w:id="25"/>
    <w:bookmarkStart w:id="26"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ninety (90) days from the date of issuance. Beyond this period, all rates and availability of the proposed</w:t>
      </w:r>
      <w:r>
        <w:t xml:space="preserve"> </w:t>
      </w:r>
      <w:r>
        <w:t xml:space="preserve">Medical Researcher</w:t>
      </w:r>
      <w:r>
        <w:t xml:space="preserve"> </w:t>
      </w:r>
      <w:r>
        <w:t xml:space="preserve">are subject to re-evaluation.</w:t>
      </w:r>
    </w:p>
    <w:p>
      <w:pPr>
        <w:numPr>
          <w:ilvl w:val="0"/>
          <w:numId w:val="1002"/>
        </w:numPr>
        <w:pStyle w:val="Compact"/>
      </w:pPr>
      <w:r>
        <w:t xml:space="preserve">The engagement of the</w:t>
      </w:r>
      <w:r>
        <w:t xml:space="preserve"> </w:t>
      </w:r>
      <w:r>
        <w:t xml:space="preserve">Medical Researcher</w:t>
      </w:r>
      <w:r>
        <w:t xml:space="preserve"> </w:t>
      </w:r>
      <w:r>
        <w:t xml:space="preserve">is contingent upon successful completion of a background verification, academic credential validation, and a medical fitness examination conducted in</w:t>
      </w:r>
      <w:r>
        <w:t xml:space="preserve"> </w:t>
      </w:r>
      <w:r>
        <w:t xml:space="preserve">Japan Tokyo</w:t>
      </w:r>
      <w:r>
        <w:t xml:space="preserve">.</w:t>
      </w:r>
    </w:p>
    <w:p>
      <w:pPr>
        <w:numPr>
          <w:ilvl w:val="0"/>
          <w:numId w:val="1002"/>
        </w:numPr>
        <w:pStyle w:val="Compact"/>
      </w:pPr>
      <w:r>
        <w:t xml:space="preserve">All intellectual property, research data, and publications generated during the term of this engagement shall be the sole property of the client, as stipulated in the separate Intellectual Property Assignment Agreement.</w:t>
      </w:r>
    </w:p>
    <w:p>
      <w:pPr>
        <w:numPr>
          <w:ilvl w:val="0"/>
          <w:numId w:val="1002"/>
        </w:numPr>
        <w:pStyle w:val="Compact"/>
      </w:pPr>
      <w:r>
        <w:t xml:space="preserve">Either party may terminate the contract with a written notice of sixty (60) days. In the event of early termination, the client shall be liable for all costs incurred up to the termination date plus a 10% administrative fee.</w:t>
      </w:r>
    </w:p>
    <w:p>
      <w:pPr>
        <w:numPr>
          <w:ilvl w:val="0"/>
          <w:numId w:val="1002"/>
        </w:numPr>
        <w:pStyle w:val="Compact"/>
      </w:pPr>
      <w:r>
        <w:t xml:space="preserve">The</w:t>
      </w:r>
      <w:r>
        <w:t xml:space="preserve"> </w:t>
      </w:r>
      <w:r>
        <w:t xml:space="preserve">Medical Researcher</w:t>
      </w:r>
      <w:r>
        <w:t xml:space="preserve"> </w:t>
      </w:r>
      <w:r>
        <w:t xml:space="preserve">shall comply with all applicable Japanese laws, including the Act on the Protection of Personal Information, the Pharmaceuticals and Medical Devices Act, and institutional ethics committee guidelines in force in</w:t>
      </w:r>
      <w:r>
        <w:t xml:space="preserve"> </w:t>
      </w:r>
      <w:r>
        <w:t xml:space="preserve">Japan Tokyo</w:t>
      </w:r>
      <w:r>
        <w:t xml:space="preserve">.</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both parties have executed the formal Service Agreement in writing.</w:t>
      </w:r>
    </w:p>
    <w:p>
      <w:pPr>
        <w:numPr>
          <w:ilvl w:val="0"/>
          <w:numId w:val="1002"/>
        </w:numPr>
        <w:pStyle w:val="Compact"/>
      </w:pPr>
      <w:r>
        <w:t xml:space="preserve">Any disputes arising from this engagement shall be resolved through arbitration in Tokyo, Japan, under the rules of the Japan Commercial Arbitration Association (JCAA).</w:t>
      </w:r>
    </w:p>
    <w:bookmarkEnd w:id="26"/>
    <w:bookmarkStart w:id="27"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confirms that the proposed engagement of the</w:t>
      </w:r>
      <w:r>
        <w:t xml:space="preserve"> </w:t>
      </w:r>
      <w:r>
        <w:t xml:space="preserve">Medical Researcher</w:t>
      </w:r>
      <w:r>
        <w:t xml:space="preserve"> </w:t>
      </w:r>
      <w:r>
        <w:t xml:space="preserve">in</w:t>
      </w:r>
      <w:r>
        <w:t xml:space="preserve"> </w:t>
      </w:r>
      <w:r>
        <w:t xml:space="preserve">Japan Tokyo</w:t>
      </w:r>
      <w:r>
        <w:t xml:space="preserve"> </w:t>
      </w:r>
      <w:r>
        <w:t xml:space="preserve">meets the scientific and operational requirements of the project. The undersigned authorizes GlobalMed Research Partners Ltd. to proceed with the recruitment, onboarding, and deployment of the specified</w:t>
      </w:r>
      <w:r>
        <w:t xml:space="preserve"> </w:t>
      </w:r>
      <w:r>
        <w:t xml:space="preserve">Medical Researcher</w:t>
      </w:r>
      <w:r>
        <w:t xml:space="preserve"> </w:t>
      </w:r>
      <w:r>
        <w:t xml:space="preserve">upon execution of the definitive Service Agreement.</w:t>
      </w:r>
    </w:p>
    <w:p>
      <w:pPr>
        <w:pStyle w:val="BodyText"/>
      </w:pPr>
      <w:r>
        <w:rPr>
          <w:bCs/>
          <w:b/>
        </w:rPr>
        <w:t xml:space="preserve">For and on behalf of GlobalMed Research Partners Ltd.</w:t>
      </w:r>
    </w:p>
    <w:p>
      <w:pPr>
        <w:pStyle w:val="BodyText"/>
      </w:pPr>
      <w:r>
        <w:t xml:space="preserve">Dr. Kenji Tanaka</w:t>
      </w:r>
      <w:r>
        <w:br/>
      </w:r>
      <w:r>
        <w:t xml:space="preserve">Senior Account Manager</w:t>
      </w:r>
      <w:r>
        <w:br/>
      </w:r>
      <w:r>
        <w:t xml:space="preserve">Date: _______________</w:t>
      </w:r>
    </w:p>
    <w:p>
      <w:pPr>
        <w:pStyle w:val="BodyText"/>
      </w:pPr>
      <w:r>
        <w:rPr>
          <w:bCs/>
          <w:b/>
        </w:rPr>
        <w:t xml:space="preserve">For and on behalf of the Client</w:t>
      </w:r>
    </w:p>
    <w:p>
      <w:pPr>
        <w:pStyle w:val="BodyText"/>
      </w:pPr>
      <w:r>
        <w:t xml:space="preserve">Prof. Yuki Matsuda</w:t>
      </w:r>
      <w:r>
        <w:br/>
      </w:r>
      <w:r>
        <w:t xml:space="preserve">Director of Research, NIBS</w:t>
      </w:r>
      <w:r>
        <w:br/>
      </w:r>
      <w:r>
        <w:t xml:space="preserve">Date: _______________</w:t>
      </w:r>
    </w:p>
    <w:p>
      <w:pPr>
        <w:pStyle w:val="BodyText"/>
      </w:pPr>
      <w:r>
        <w:t xml:space="preserve">GlobalMed Research Partners Ltd. | 12-4 Roppongi Hills, Minato-ku, Tokyo 106-6060, Japan</w:t>
      </w:r>
    </w:p>
    <w:p>
      <w:pPr>
        <w:pStyle w:val="BodyText"/>
      </w:pPr>
      <w:r>
        <w:t xml:space="preserve">This Quotation Estimate (Ref: QTE-2025-TKY-00472) is confidential and intended solely for the named client. Unauthorized reproduction or distribution is prohibited.</w:t>
      </w:r>
    </w:p>
    <w:p>
      <w:pPr>
        <w:pStyle w:val="BodyText"/>
      </w:pPr>
      <w:r>
        <w:t xml:space="preserve">Page 1 of 1 | Generated: 15 June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Medical Researcher Services - Japan Tokyo</dc:title>
  <dc:creator/>
  <dc:language>en</dc:language>
  <cp:keywords/>
  <dcterms:created xsi:type="dcterms:W3CDTF">2026-10-10T07:07:57Z</dcterms:created>
  <dcterms:modified xsi:type="dcterms:W3CDTF">2026-10-10T07:07:57Z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