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Kenya</w:t>
      </w:r>
      <w:r>
        <w:t xml:space="preserve"> </w:t>
      </w:r>
      <w:r>
        <w:t xml:space="preserve">Nairobi</w:t>
      </w:r>
    </w:p>
    <w:bookmarkStart w:id="20" w:name="quotation-estimate"/>
    <w:p>
      <w:pPr>
        <w:pStyle w:val="Heading1"/>
      </w:pPr>
      <w:r>
        <w:t xml:space="preserve">Quotation Estimate</w:t>
      </w:r>
    </w:p>
    <w:p>
      <w:pPr>
        <w:pStyle w:val="FirstParagraph"/>
      </w:pPr>
      <w:r>
        <w:rPr>
          <w:bCs/>
          <w:b/>
        </w:rPr>
        <w:t xml:space="preserve">East African Medical Research &amp; Consulting Ltd.</w:t>
      </w:r>
    </w:p>
    <w:p>
      <w:pPr>
        <w:pStyle w:val="BodyText"/>
      </w:pPr>
      <w:r>
        <w:t xml:space="preserve">P.O. Box 4521, Nairobi, Kenya | Tel: +254 700 123 456 | Email: info@eamrc.co.ke</w:t>
      </w:r>
    </w:p>
    <w:p>
      <w:pPr>
        <w:pStyle w:val="BodyText"/>
      </w:pPr>
      <w:r>
        <w:t xml:space="preserve">Physical Address: 4th Floor, Kenyatta Avenue, Nairobi CBD, Kenya</w:t>
      </w:r>
    </w:p>
    <w:bookmarkEnd w:id="20"/>
    <w:p>
      <w:pPr>
        <w:pStyle w:val="BodyText"/>
      </w:pPr>
      <w:r>
        <w:rPr>
          <w:bCs/>
          <w:b/>
        </w:rPr>
        <w:t xml:space="preserve">Quotation No.:</w:t>
      </w:r>
      <w:r>
        <w:t xml:space="preserve"> </w:t>
      </w:r>
      <w:r>
        <w:t xml:space="preserve">QTE-2025-0847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Kenya Medical Research Institute (KEMRI)</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East African Medical Research &amp; Consulting Ltd. to provide a comprehensive financial breakdown for the engagement of a qualified</w:t>
      </w:r>
      <w:r>
        <w:t xml:space="preserve"> </w:t>
      </w:r>
      <w:r>
        <w:t xml:space="preserve">Medical Researcher</w:t>
      </w:r>
      <w:r>
        <w:t xml:space="preserve"> </w:t>
      </w:r>
      <w:r>
        <w:t xml:space="preserve">to conduct a multi-phase epidemiological study within the</w:t>
      </w:r>
      <w:r>
        <w:t xml:space="preserve"> </w:t>
      </w:r>
      <w:r>
        <w:t xml:space="preserve">Kenya Nairobi</w:t>
      </w:r>
      <w:r>
        <w:t xml:space="preserve"> </w:t>
      </w:r>
      <w:r>
        <w:t xml:space="preserve">metropolitan area. The purpose of this document is to outline the scope of services, associated costs, timelines, and contractual terms governing the professional engagement. This</w:t>
      </w:r>
      <w:r>
        <w:t xml:space="preserve"> </w:t>
      </w:r>
      <w:r>
        <w:t xml:space="preserve">Quotation Estimate</w:t>
      </w:r>
      <w:r>
        <w:t xml:space="preserve"> </w:t>
      </w:r>
      <w:r>
        <w:t xml:space="preserve">has been prepared in accordance with the standards set forth by the Kenya National Commission for Science, Technology and Innovation (NACOSTI) and aligns with the regulatory frameworks governing medical research conducted in</w:t>
      </w:r>
      <w:r>
        <w:t xml:space="preserve"> </w:t>
      </w:r>
      <w:r>
        <w:t xml:space="preserve">Kenya Nairobi</w:t>
      </w:r>
      <w:r>
        <w:t xml:space="preserve"> </w:t>
      </w:r>
      <w:r>
        <w:t xml:space="preserve">and its surrounding counties.</w:t>
      </w:r>
    </w:p>
    <w:bookmarkEnd w:id="21"/>
    <w:bookmarkStart w:id="22" w:name="Xb1e69cda2657fb3522d5f06f68500be55311324"/>
    <w:p>
      <w:pPr>
        <w:pStyle w:val="Heading2"/>
      </w:pPr>
      <w:r>
        <w:t xml:space="preserve">2. Scope of Services – Medical Researcher Engagement</w:t>
      </w:r>
    </w:p>
    <w:p>
      <w:pPr>
        <w:pStyle w:val="FirstParagraph"/>
      </w:pPr>
      <w:r>
        <w:t xml:space="preserve">The</w:t>
      </w:r>
      <w:r>
        <w:t xml:space="preserve"> </w:t>
      </w:r>
      <w:r>
        <w:t xml:space="preserve">Medical Researcher</w:t>
      </w:r>
      <w:r>
        <w:t xml:space="preserve"> </w:t>
      </w:r>
      <w:r>
        <w:t xml:space="preserve">engaged under this</w:t>
      </w:r>
      <w:r>
        <w:t xml:space="preserve"> </w:t>
      </w:r>
      <w:r>
        <w:t xml:space="preserve">Quotation Estimate</w:t>
      </w:r>
      <w:r>
        <w:t xml:space="preserve"> </w:t>
      </w:r>
      <w:r>
        <w:t xml:space="preserve">shall be a board-certified clinical epidemiologist with a minimum of ten (10) years of post-doctoral experience in infectious disease surveillance, public health data analysis, and community-based participatory research. The</w:t>
      </w:r>
      <w:r>
        <w:t xml:space="preserve"> </w:t>
      </w:r>
      <w:r>
        <w:t xml:space="preserve">Medical Researcher</w:t>
      </w:r>
      <w:r>
        <w:t xml:space="preserve"> </w:t>
      </w:r>
      <w:r>
        <w:t xml:space="preserve">will be based in</w:t>
      </w:r>
      <w:r>
        <w:t xml:space="preserve"> </w:t>
      </w:r>
      <w:r>
        <w:t xml:space="preserve">Kenya Nairobi</w:t>
      </w:r>
      <w:r>
        <w:t xml:space="preserve"> </w:t>
      </w:r>
      <w:r>
        <w:t xml:space="preserve">and will operate primarily from the KEMRI facility located in the Nairobi CBD, with fieldwork extending to the informal settlements of Kibera, Mathare, and Dandora.</w:t>
      </w:r>
    </w:p>
    <w:p>
      <w:pPr>
        <w:pStyle w:val="BodyText"/>
      </w:pPr>
      <w:r>
        <w:t xml:space="preserve">The scope of work includes but is not limited to: design and implementation of a cross-sectional survey targeting 2,500 households across</w:t>
      </w:r>
      <w:r>
        <w:t xml:space="preserve"> </w:t>
      </w:r>
      <w:r>
        <w:t xml:space="preserve">Kenya Nairobi</w:t>
      </w:r>
      <w:r>
        <w:t xml:space="preserve">; collection, cleaning, and statistical analysis of clinical and demographic data; coordination with the Nairobi County Public Health Department for ethical clearance and community engagement; preparation of peer-reviewed manuscripts for submission to international journals; and delivery of a final comprehensive research report to the sponsoring institution.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 Cost (KES)</w:t>
            </w:r>
          </w:p>
        </w:tc>
        <w:tc>
          <w:tcPr/>
          <w:p>
            <w:pPr>
              <w:pStyle w:val="Compact"/>
              <w:jc w:val="left"/>
            </w:pPr>
            <w:r>
              <w:t xml:space="preserve">Quantity</w:t>
            </w:r>
          </w:p>
        </w:tc>
        <w:tc>
          <w:tcPr/>
          <w:p>
            <w:pPr>
              <w:pStyle w:val="Compact"/>
              <w:jc w:val="left"/>
            </w:pPr>
            <w:r>
              <w:t xml:space="preserve">Total (KES)</w:t>
            </w:r>
          </w:p>
        </w:tc>
      </w:tr>
      <w:tr>
        <w:tc>
          <w:tcPr/>
          <w:p>
            <w:pPr>
              <w:pStyle w:val="Compact"/>
              <w:jc w:val="left"/>
            </w:pPr>
            <w:r>
              <w:t xml:space="preserve">1</w:t>
            </w:r>
          </w:p>
        </w:tc>
        <w:tc>
          <w:tcPr/>
          <w:p>
            <w:pPr>
              <w:pStyle w:val="Compact"/>
              <w:jc w:val="left"/>
            </w:pPr>
            <w:r>
              <w:t xml:space="preserve">Medical Researcher – Principal Investigator (Monthly Retainer)</w:t>
            </w:r>
          </w:p>
        </w:tc>
        <w:tc>
          <w:tcPr/>
          <w:p>
            <w:pPr>
              <w:pStyle w:val="Compact"/>
              <w:jc w:val="left"/>
            </w:pPr>
            <w:r>
              <w:t xml:space="preserve">12 months</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2</w:t>
            </w:r>
          </w:p>
        </w:tc>
        <w:tc>
          <w:tcPr/>
          <w:p>
            <w:pPr>
              <w:pStyle w:val="Compact"/>
              <w:jc w:val="left"/>
            </w:pPr>
            <w:r>
              <w:t xml:space="preserve">Medical Researcher – Research Assistants (2 staff, monthly)</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24</w:t>
            </w:r>
          </w:p>
        </w:tc>
        <w:tc>
          <w:tcPr/>
          <w:p>
            <w:pPr>
              <w:pStyle w:val="Compact"/>
              <w:jc w:val="left"/>
            </w:pPr>
            <w:r>
              <w:t xml:space="preserve">2,880,000</w:t>
            </w:r>
          </w:p>
        </w:tc>
      </w:tr>
      <w:tr>
        <w:tc>
          <w:tcPr/>
          <w:p>
            <w:pPr>
              <w:pStyle w:val="Compact"/>
              <w:jc w:val="left"/>
            </w:pPr>
            <w:r>
              <w:t xml:space="preserve">3</w:t>
            </w:r>
          </w:p>
        </w:tc>
        <w:tc>
          <w:tcPr/>
          <w:p>
            <w:pPr>
              <w:pStyle w:val="Compact"/>
              <w:jc w:val="left"/>
            </w:pPr>
            <w:r>
              <w:t xml:space="preserve">Field Data Collection – Kenya Nairobi (Kibera, Mathare, Dandora)</w:t>
            </w:r>
          </w:p>
        </w:tc>
        <w:tc>
          <w:tcPr/>
          <w:p>
            <w:pPr>
              <w:pStyle w:val="Compact"/>
              <w:jc w:val="left"/>
            </w:pPr>
            <w:r>
              <w:t xml:space="preserve">6 months</w:t>
            </w:r>
          </w:p>
        </w:tc>
        <w:tc>
          <w:tcPr/>
          <w:p>
            <w:pPr>
              <w:pStyle w:val="Compact"/>
              <w:jc w:val="left"/>
            </w:pPr>
            <w:r>
              <w:t xml:space="preserve">350,000</w:t>
            </w:r>
          </w:p>
        </w:tc>
        <w:tc>
          <w:tcPr/>
          <w:p>
            <w:pPr>
              <w:pStyle w:val="Compact"/>
              <w:jc w:val="left"/>
            </w:pPr>
            <w:r>
              <w:t xml:space="preserve">6</w:t>
            </w:r>
          </w:p>
        </w:tc>
        <w:tc>
          <w:tcPr/>
          <w:p>
            <w:pPr>
              <w:pStyle w:val="Compact"/>
              <w:jc w:val="left"/>
            </w:pPr>
            <w:r>
              <w:t xml:space="preserve">2,100,000</w:t>
            </w:r>
          </w:p>
        </w:tc>
      </w:tr>
      <w:tr>
        <w:tc>
          <w:tcPr/>
          <w:p>
            <w:pPr>
              <w:pStyle w:val="Compact"/>
              <w:jc w:val="left"/>
            </w:pPr>
            <w:r>
              <w:t xml:space="preserve">4</w:t>
            </w:r>
          </w:p>
        </w:tc>
        <w:tc>
          <w:tcPr/>
          <w:p>
            <w:pPr>
              <w:pStyle w:val="Compact"/>
              <w:jc w:val="left"/>
            </w:pPr>
            <w:r>
              <w:t xml:space="preserve">Laboratory Analysis and Sample Processing (Nairobi Reference Labs)</w:t>
            </w:r>
          </w:p>
        </w:tc>
        <w:tc>
          <w:tcPr/>
          <w:p>
            <w:pPr>
              <w:pStyle w:val="Compact"/>
              <w:jc w:val="left"/>
            </w:pPr>
            <w:r>
              <w:t xml:space="preserve">8 months</w:t>
            </w:r>
          </w:p>
        </w:tc>
        <w:tc>
          <w:tcPr/>
          <w:p>
            <w:pPr>
              <w:pStyle w:val="Compact"/>
              <w:jc w:val="left"/>
            </w:pPr>
            <w:r>
              <w:t xml:space="preserve">280,000</w:t>
            </w:r>
          </w:p>
        </w:tc>
        <w:tc>
          <w:tcPr/>
          <w:p>
            <w:pPr>
              <w:pStyle w:val="Compact"/>
              <w:jc w:val="left"/>
            </w:pPr>
            <w:r>
              <w:t xml:space="preserve">8</w:t>
            </w:r>
          </w:p>
        </w:tc>
        <w:tc>
          <w:tcPr/>
          <w:p>
            <w:pPr>
              <w:pStyle w:val="Compact"/>
              <w:jc w:val="left"/>
            </w:pPr>
            <w:r>
              <w:t xml:space="preserve">2,240,000</w:t>
            </w:r>
          </w:p>
        </w:tc>
      </w:tr>
      <w:tr>
        <w:tc>
          <w:tcPr/>
          <w:p>
            <w:pPr>
              <w:pStyle w:val="Compact"/>
              <w:jc w:val="left"/>
            </w:pPr>
            <w:r>
              <w:t xml:space="preserve">5</w:t>
            </w:r>
          </w:p>
        </w:tc>
        <w:tc>
          <w:tcPr/>
          <w:p>
            <w:pPr>
              <w:pStyle w:val="Compact"/>
              <w:jc w:val="left"/>
            </w:pPr>
            <w:r>
              <w:t xml:space="preserve">Ethical Clearance and NACOSTI Compliance Filing</w:t>
            </w:r>
          </w:p>
        </w:tc>
        <w:tc>
          <w:tcPr/>
          <w:p>
            <w:pPr>
              <w:pStyle w:val="Compact"/>
              <w:jc w:val="left"/>
            </w:pPr>
            <w:r>
              <w:t xml:space="preserve">One-time</w:t>
            </w:r>
          </w:p>
        </w:tc>
        <w:tc>
          <w:tcPr/>
          <w:p>
            <w:pPr>
              <w:pStyle w:val="Compact"/>
              <w:jc w:val="left"/>
            </w:pPr>
            <w:r>
              <w:t xml:space="preserve">85,000</w:t>
            </w:r>
          </w:p>
        </w:tc>
        <w:tc>
          <w:tcPr/>
          <w:p>
            <w:pPr>
              <w:pStyle w:val="Compact"/>
              <w:jc w:val="left"/>
            </w:pPr>
            <w:r>
              <w:t xml:space="preserve">1</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Statistical Software Licensing (SPSS, R, Stata) – Annual</w:t>
            </w:r>
          </w:p>
        </w:tc>
        <w:tc>
          <w:tcPr/>
          <w:p>
            <w:pPr>
              <w:pStyle w:val="Compact"/>
              <w:jc w:val="left"/>
            </w:pPr>
            <w:r>
              <w:t xml:space="preserve">12 months</w:t>
            </w:r>
          </w:p>
        </w:tc>
        <w:tc>
          <w:tcPr/>
          <w:p>
            <w:pPr>
              <w:pStyle w:val="Compact"/>
              <w:jc w:val="left"/>
            </w:pPr>
            <w:r>
              <w:t xml:space="preserve">195,000</w:t>
            </w:r>
          </w:p>
        </w:tc>
        <w:tc>
          <w:tcPr/>
          <w:p>
            <w:pPr>
              <w:pStyle w:val="Compact"/>
              <w:jc w:val="left"/>
            </w:pPr>
            <w:r>
              <w:t xml:space="preserve">1</w:t>
            </w:r>
          </w:p>
        </w:tc>
        <w:tc>
          <w:tcPr/>
          <w:p>
            <w:pPr>
              <w:pStyle w:val="Compact"/>
              <w:jc w:val="left"/>
            </w:pPr>
            <w:r>
              <w:t xml:space="preserve">195,000</w:t>
            </w:r>
          </w:p>
        </w:tc>
      </w:tr>
      <w:tr>
        <w:tc>
          <w:tcPr/>
          <w:p>
            <w:pPr>
              <w:pStyle w:val="Compact"/>
              <w:jc w:val="left"/>
            </w:pPr>
            <w:r>
              <w:t xml:space="preserve">7</w:t>
            </w:r>
          </w:p>
        </w:tc>
        <w:tc>
          <w:tcPr/>
          <w:p>
            <w:pPr>
              <w:pStyle w:val="Compact"/>
              <w:jc w:val="left"/>
            </w:pPr>
            <w:r>
              <w:t xml:space="preserve">Community Engagement and Stakeholder Meetings in Kenya Nairobi</w:t>
            </w:r>
          </w:p>
        </w:tc>
        <w:tc>
          <w:tcPr/>
          <w:p>
            <w:pPr>
              <w:pStyle w:val="Compact"/>
              <w:jc w:val="left"/>
            </w:pPr>
            <w:r>
              <w:t xml:space="preserve">4 sessions</w:t>
            </w:r>
          </w:p>
        </w:tc>
        <w:tc>
          <w:tcPr/>
          <w:p>
            <w:pPr>
              <w:pStyle w:val="Compact"/>
              <w:jc w:val="left"/>
            </w:pPr>
            <w:r>
              <w:t xml:space="preserve">120,000</w:t>
            </w:r>
          </w:p>
        </w:tc>
        <w:tc>
          <w:tcPr/>
          <w:p>
            <w:pPr>
              <w:pStyle w:val="Compact"/>
              <w:jc w:val="left"/>
            </w:pPr>
            <w:r>
              <w:t xml:space="preserve">4</w:t>
            </w:r>
          </w:p>
        </w:tc>
        <w:tc>
          <w:tcPr/>
          <w:p>
            <w:pPr>
              <w:pStyle w:val="Compact"/>
              <w:jc w:val="left"/>
            </w:pPr>
            <w:r>
              <w:t xml:space="preserve">480,000</w:t>
            </w:r>
          </w:p>
        </w:tc>
      </w:tr>
      <w:tr>
        <w:tc>
          <w:tcPr/>
          <w:p>
            <w:pPr>
              <w:pStyle w:val="Compact"/>
              <w:jc w:val="left"/>
            </w:pPr>
            <w:r>
              <w:t xml:space="preserve">8</w:t>
            </w:r>
          </w:p>
        </w:tc>
        <w:tc>
          <w:tcPr/>
          <w:p>
            <w:pPr>
              <w:pStyle w:val="Compact"/>
              <w:jc w:val="left"/>
            </w:pPr>
            <w:r>
              <w:t xml:space="preserve">Report Writing, Peer Review, and Publication Fees</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9</w:t>
            </w:r>
          </w:p>
        </w:tc>
        <w:tc>
          <w:tcPr/>
          <w:p>
            <w:pPr>
              <w:pStyle w:val="Compact"/>
              <w:jc w:val="left"/>
            </w:pPr>
            <w:r>
              <w:t xml:space="preserve">Travel, Transport, and Logistics within Kenya Nairobi</w:t>
            </w:r>
          </w:p>
        </w:tc>
        <w:tc>
          <w:tcPr/>
          <w:p>
            <w:pPr>
              <w:pStyle w:val="Compact"/>
              <w:jc w:val="left"/>
            </w:pPr>
            <w:r>
              <w:t xml:space="preserve">12 months</w:t>
            </w:r>
          </w:p>
        </w:tc>
        <w:tc>
          <w:tcPr/>
          <w:p>
            <w:pPr>
              <w:pStyle w:val="Compact"/>
              <w:jc w:val="left"/>
            </w:pPr>
            <w:r>
              <w:t xml:space="preserve">95,000</w:t>
            </w:r>
          </w:p>
        </w:tc>
        <w:tc>
          <w:tcPr/>
          <w:p>
            <w:pPr>
              <w:pStyle w:val="Compact"/>
              <w:jc w:val="left"/>
            </w:pPr>
            <w:r>
              <w:t xml:space="preserve">12</w:t>
            </w:r>
          </w:p>
        </w:tc>
        <w:tc>
          <w:tcPr/>
          <w:p>
            <w:pPr>
              <w:pStyle w:val="Compact"/>
              <w:jc w:val="left"/>
            </w:pPr>
            <w:r>
              <w:t xml:space="preserve">1,140,000</w:t>
            </w:r>
          </w:p>
        </w:tc>
      </w:tr>
      <w:tr>
        <w:tc>
          <w:tcPr/>
          <w:p>
            <w:pPr>
              <w:pStyle w:val="Compact"/>
              <w:jc w:val="left"/>
            </w:pPr>
            <w:r>
              <w:t xml:space="preserve">10</w:t>
            </w:r>
          </w:p>
        </w:tc>
        <w:tc>
          <w:tcPr/>
          <w:p>
            <w:pPr>
              <w:pStyle w:val="Compact"/>
              <w:jc w:val="left"/>
            </w:pPr>
            <w:r>
              <w:t xml:space="preserve">Contingency and Miscellaneous (5% of subtotal)</w:t>
            </w:r>
          </w:p>
        </w:tc>
        <w:tc>
          <w:tcPr/>
          <w:p>
            <w:pPr>
              <w:pStyle w:val="Compact"/>
              <w:jc w:val="left"/>
            </w:pPr>
            <w:r>
              <w:t xml:space="preserve">—</w:t>
            </w:r>
          </w:p>
        </w:tc>
        <w:tc>
          <w:tcPr/>
          <w:p>
            <w:pPr>
              <w:pStyle w:val="Compact"/>
              <w:jc w:val="left"/>
            </w:pPr>
            <w:r>
              <w:t xml:space="preserve">—</w:t>
            </w:r>
          </w:p>
        </w:tc>
        <w:tc>
          <w:tcPr/>
          <w:p>
            <w:pPr>
              <w:pStyle w:val="Compact"/>
              <w:jc w:val="left"/>
            </w:pPr>
            <w:r>
              <w:t xml:space="preserve">1</w:t>
            </w:r>
          </w:p>
        </w:tc>
        <w:tc>
          <w:tcPr/>
          <w:p>
            <w:pPr>
              <w:pStyle w:val="Compact"/>
              <w:jc w:val="left"/>
            </w:pPr>
            <w:r>
              <w:t xml:space="preserve">863,500</w:t>
            </w:r>
          </w:p>
        </w:tc>
      </w:tr>
      <w:tr>
        <w:tc>
          <w:tcPr>
            <w:gridSpan w:val="5"/>
          </w:tcPr>
          <w:p>
            <w:pPr>
              <w:pStyle w:val="Compact"/>
              <w:jc w:val="left"/>
            </w:pPr>
            <w:r>
              <w:t xml:space="preserve">GRAND TOTAL (KES)</w:t>
            </w:r>
          </w:p>
        </w:tc>
        <w:tc>
          <w:tcPr/>
          <w:p>
            <w:pPr>
              <w:pStyle w:val="Compact"/>
              <w:jc w:val="left"/>
            </w:pPr>
            <w:r>
              <w:t xml:space="preserve">15,803,500</w:t>
            </w:r>
          </w:p>
        </w:tc>
      </w:tr>
      <w:tr>
        <w:tc>
          <w:tcPr>
            <w:gridSpan w:val="5"/>
          </w:tcPr>
          <w:p>
            <w:pPr>
              <w:pStyle w:val="Compact"/>
              <w:jc w:val="left"/>
            </w:pPr>
            <w:r>
              <w:t xml:space="preserve">GRAND TOTAL (USD – at KES 129/USD)</w:t>
            </w:r>
          </w:p>
        </w:tc>
        <w:tc>
          <w:tcPr/>
          <w:p>
            <w:pPr>
              <w:pStyle w:val="Compact"/>
              <w:jc w:val="left"/>
            </w:pPr>
            <w:r>
              <w:t xml:space="preserve">122,508</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w:t>
      </w:r>
      <w:r>
        <w:t xml:space="preserve"> </w:t>
      </w:r>
      <w:r>
        <w:t xml:space="preserve">Quotation Estimate</w:t>
      </w:r>
      <w:r>
        <w:t xml:space="preserve"> </w:t>
      </w:r>
      <w:r>
        <w:t xml:space="preserve">shall be made in four (4) equal quarterly installments, each amounting to KES 3,950,875 (approximately USD 30,627). The first installment is due within fourteen (14) calendar days of the formal acceptance of this</w:t>
      </w:r>
      <w:r>
        <w:t xml:space="preserve"> </w:t>
      </w:r>
      <w:r>
        <w:t xml:space="preserve">Quotation Estimate</w:t>
      </w:r>
      <w:r>
        <w:t xml:space="preserve"> </w:t>
      </w:r>
      <w:r>
        <w:t xml:space="preserve">by the client. Subsequent payments shall be due on the 1st of January, April, July, and October 2025. All payments shall be made via bank transfer to the account of East African Medical Research &amp; Consulting Ltd. at Equity Bank, Nairobi Branch, Kenya. Late payments shall attract a penalty of 1.5% per month as stipulated under Kenyan commercial law.</w:t>
      </w:r>
    </w:p>
    <w:bookmarkEnd w:id="24"/>
    <w:bookmarkStart w:id="25" w:name="terms-and-conditions"/>
    <w:p>
      <w:pPr>
        <w:pStyle w:val="Heading2"/>
      </w:pPr>
      <w:r>
        <w:t xml:space="preserve">5. Terms and Conditions</w:t>
      </w:r>
    </w:p>
    <w:p>
      <w:pPr>
        <w:numPr>
          <w:ilvl w:val="0"/>
          <w:numId w:val="1001"/>
        </w:numPr>
        <w:pStyle w:val="Compact"/>
      </w:pPr>
      <w:r>
        <w:t xml:space="preserve">This</w:t>
      </w:r>
      <w:r>
        <w:t xml:space="preserve"> </w:t>
      </w:r>
      <w:r>
        <w:t xml:space="preserve">Quotation Estimate</w:t>
      </w:r>
      <w:r>
        <w:t xml:space="preserve"> </w:t>
      </w:r>
      <w:r>
        <w:t xml:space="preserve">is valid for thirty (30) days from the date of issue. Beyond this period, all rates are subject to revision based on prevailing market conditions in</w:t>
      </w:r>
      <w:r>
        <w:t xml:space="preserve"> </w:t>
      </w:r>
      <w:r>
        <w:t xml:space="preserve">Kenya Nairobi</w:t>
      </w:r>
      <w:r>
        <w:t xml:space="preserve">.</w:t>
      </w:r>
    </w:p>
    <w:p>
      <w:pPr>
        <w:numPr>
          <w:ilvl w:val="0"/>
          <w:numId w:val="1001"/>
        </w:numPr>
        <w:pStyle w:val="Compact"/>
      </w:pPr>
      <w:r>
        <w:t xml:space="preserve">The</w:t>
      </w:r>
      <w:r>
        <w:t xml:space="preserve"> </w:t>
      </w:r>
      <w:r>
        <w:t xml:space="preserve">Medical Researcher</w:t>
      </w:r>
      <w:r>
        <w:t xml:space="preserve"> </w:t>
      </w:r>
      <w:r>
        <w:t xml:space="preserve">shall comply with all data protection regulations under the Kenya Data Protection Act, 2019, and shall ensure that all participant data collected in</w:t>
      </w:r>
      <w:r>
        <w:t xml:space="preserve"> </w:t>
      </w:r>
      <w:r>
        <w:t xml:space="preserve">Kenya Nairobi</w:t>
      </w:r>
      <w:r>
        <w:t xml:space="preserve"> </w:t>
      </w:r>
      <w:r>
        <w:t xml:space="preserve">is stored securely and anonymized.</w:t>
      </w:r>
    </w:p>
    <w:p>
      <w:pPr>
        <w:numPr>
          <w:ilvl w:val="0"/>
          <w:numId w:val="1001"/>
        </w:numPr>
        <w:pStyle w:val="Compact"/>
      </w:pPr>
      <w:r>
        <w:t xml:space="preserve">Any changes to the scope of work must be documented in a formal amendment to this</w:t>
      </w:r>
      <w:r>
        <w:t xml:space="preserve"> </w:t>
      </w:r>
      <w:r>
        <w:t xml:space="preserve">Quotation Estimate</w:t>
      </w:r>
      <w:r>
        <w:t xml:space="preserve"> </w:t>
      </w:r>
      <w:r>
        <w:t xml:space="preserve">and signed by both parties before implementation.</w:t>
      </w:r>
    </w:p>
    <w:p>
      <w:pPr>
        <w:numPr>
          <w:ilvl w:val="0"/>
          <w:numId w:val="1001"/>
        </w:numPr>
        <w:pStyle w:val="Compact"/>
      </w:pPr>
      <w:r>
        <w:t xml:space="preserve">The</w:t>
      </w:r>
      <w:r>
        <w:t xml:space="preserve"> </w:t>
      </w:r>
      <w:r>
        <w:t xml:space="preserve">Medical Researcher</w:t>
      </w:r>
      <w:r>
        <w:t xml:space="preserve"> </w:t>
      </w:r>
      <w:r>
        <w:t xml:space="preserve">shall submit monthly progress reports to the client and shall be available for quarterly review meetings held in Nairobi, Kenya.</w:t>
      </w:r>
    </w:p>
    <w:p>
      <w:pPr>
        <w:numPr>
          <w:ilvl w:val="0"/>
          <w:numId w:val="1001"/>
        </w:numPr>
        <w:pStyle w:val="Compact"/>
      </w:pPr>
      <w:r>
        <w:t xml:space="preserve">Intellectual property generated under this engagement shall be jointly owned by the client and East African Medical Research &amp; Consulting Ltd., unless otherwise agreed in writing.</w:t>
      </w:r>
    </w:p>
    <w:p>
      <w:pPr>
        <w:numPr>
          <w:ilvl w:val="0"/>
          <w:numId w:val="1001"/>
        </w:numPr>
        <w:pStyle w:val="Compact"/>
      </w:pPr>
      <w:r>
        <w:t xml:space="preserve">This engagement is governed by the laws of the Republic of Kenya, and any disputes shall be resolved through arbitration in Nairobi, Kenya, in accordance with the Arbitration Act, 1995.</w:t>
      </w:r>
    </w:p>
    <w:p>
      <w:pPr>
        <w:numPr>
          <w:ilvl w:val="0"/>
          <w:numId w:val="1001"/>
        </w:numPr>
        <w:pStyle w:val="Compact"/>
      </w:pPr>
      <w:r>
        <w:t xml:space="preserve">The</w:t>
      </w:r>
      <w:r>
        <w:t xml:space="preserve"> </w:t>
      </w:r>
      <w:r>
        <w:t xml:space="preserve">Medical Researcher</w:t>
      </w:r>
      <w:r>
        <w:t xml:space="preserve"> </w:t>
      </w:r>
      <w:r>
        <w:t xml:space="preserve">shall maintain professional indemnity insurance with a minimum cover of KES 10,000,000 throughout the duration of the project.</w:t>
      </w:r>
    </w:p>
    <w:bookmarkEnd w:id="25"/>
    <w:bookmarkStart w:id="26" w:name="project-timeline"/>
    <w:p>
      <w:pPr>
        <w:pStyle w:val="Heading2"/>
      </w:pPr>
      <w:r>
        <w:t xml:space="preserve">6. Project Timeline</w:t>
      </w:r>
    </w:p>
    <w:p>
      <w:pPr>
        <w:pStyle w:val="FirstParagraph"/>
      </w:pPr>
      <w:r>
        <w:t xml:space="preserve">The overall project duration is twelve (12) months, commencing on 1 August 2025 and concluding on 31 July 2026. Phase 1 (Months 1–3) covers ethical clearance, protocol finalization, and recruitment of research assistants in</w:t>
      </w:r>
      <w:r>
        <w:t xml:space="preserve"> </w:t>
      </w:r>
      <w:r>
        <w:t xml:space="preserve">Kenya Nairobi</w:t>
      </w:r>
      <w:r>
        <w:t xml:space="preserve">. Phase 2 (Months 4–9) involves active field data collection and laboratory processing. Phase 3 (Months 10–12) is dedicated to data analysis, report writing, peer review, and final dissemination of findings to stakeholders across</w:t>
      </w:r>
      <w:r>
        <w:t xml:space="preserve"> </w:t>
      </w:r>
      <w:r>
        <w:t xml:space="preserve">Kenya Nairobi</w:t>
      </w:r>
      <w:r>
        <w:t xml:space="preserve"> </w:t>
      </w:r>
      <w:r>
        <w:t xml:space="preserve">and the broader Kenyan public health community.</w:t>
      </w:r>
    </w:p>
    <w:bookmarkEnd w:id="26"/>
    <w:bookmarkStart w:id="27" w:name="acceptance-and-authorization"/>
    <w:p>
      <w:pPr>
        <w:pStyle w:val="Heading2"/>
      </w:pPr>
      <w:r>
        <w:t xml:space="preserve">7.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Medical Researcher</w:t>
      </w:r>
      <w:r>
        <w:t xml:space="preserve"> </w:t>
      </w:r>
      <w:r>
        <w:t xml:space="preserve">in</w:t>
      </w:r>
      <w:r>
        <w:t xml:space="preserve"> </w:t>
      </w:r>
      <w:r>
        <w:t xml:space="preserve">Kenya Nairobi</w:t>
      </w:r>
      <w:r>
        <w:t xml:space="preserve">. This signature constitutes formal acceptance and authorizes East African Medical Research &amp; Consulting Ltd. to commence the project as described.</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East African Medical Research &amp; Consulting Ltd.</w:t>
      </w:r>
      <w:r>
        <w:br/>
      </w:r>
      <w:r>
        <w:t xml:space="preserve">Name: Dr. Amina Wanjiru Otieno</w:t>
      </w:r>
      <w:r>
        <w:br/>
      </w:r>
      <w:r>
        <w:t xml:space="preserve">Title: Managing Director</w:t>
      </w:r>
      <w:r>
        <w:br/>
      </w:r>
      <w:r>
        <w:t xml:space="preserve">Signature: ______________________________</w:t>
      </w:r>
      <w:r>
        <w:br/>
      </w:r>
      <w:r>
        <w:t xml:space="preserve">Date: ______________________________</w:t>
      </w:r>
    </w:p>
    <w:p>
      <w:pPr>
        <w:pStyle w:val="BodyText"/>
      </w:pPr>
      <w:r>
        <w:t xml:space="preserve">East African Medical Research &amp; Consulting Ltd. | Registered in Kenya (PRA No. 1123456) | KRA PIN: P051234567X</w:t>
      </w:r>
    </w:p>
    <w:p>
      <w:pPr>
        <w:pStyle w:val="BodyText"/>
      </w:pPr>
      <w:r>
        <w:t xml:space="preserve">This Quotation Estimate is a confidential document intended solely for the named recipient. Unauthorized reproduction or distribution is prohibited.</w:t>
      </w:r>
    </w:p>
    <w:p>
      <w:pPr>
        <w:pStyle w:val="BodyText"/>
      </w:pPr>
      <w:r>
        <w:t xml:space="preserve">Page 1 of 1 | Generated: 15 June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Kenya Nairobi</dc:title>
  <dc:creator/>
  <dc:language>en</dc:language>
  <cp:keywords/>
  <dcterms:created xsi:type="dcterms:W3CDTF">2026-10-10T03:52:50Z</dcterms:created>
  <dcterms:modified xsi:type="dcterms:W3CDTF">2026-10-10T03:52:50Z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