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Clients in Kuwait, Kuwait City</w:t>
      </w:r>
    </w:p>
    <w:p>
      <w:pPr>
        <w:pStyle w:val="BodyText"/>
      </w:pPr>
      <w:r>
        <w:t xml:space="preserve">OFFICIAL QUOTATION ESTIMATE DOCUMENT</w:t>
      </w:r>
    </w:p>
    <w:bookmarkEnd w:id="20"/>
    <w:p>
      <w:pPr>
        <w:pStyle w:val="BodyText"/>
      </w:pPr>
      <w:r>
        <w:rPr>
          <w:bCs/>
          <w:b/>
        </w:rPr>
        <w:t xml:space="preserve">Quotation Estimate No.:</w:t>
      </w:r>
      <w:r>
        <w:t xml:space="preserve"> </w:t>
      </w:r>
      <w:r>
        <w:t xml:space="preserve">QTE-KWT-2025-04782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Kuwait, Kuwait City</w:t>
      </w:r>
    </w:p>
    <w:bookmarkStart w:id="21" w:name="parties-involved"/>
    <w:p>
      <w:pPr>
        <w:pStyle w:val="Heading2"/>
      </w:pPr>
      <w:r>
        <w:t xml:space="preserve">1. Parties Involved</w:t>
      </w:r>
    </w:p>
    <w:p>
      <w:pPr>
        <w:pStyle w:val="FirstParagraph"/>
      </w:pPr>
      <w:r>
        <w:rPr>
          <w:bCs/>
          <w:b/>
        </w:rPr>
        <w:t xml:space="preserve">Provider:</w:t>
      </w:r>
      <w:r>
        <w:t xml:space="preserve"> </w:t>
      </w:r>
      <w:r>
        <w:t xml:space="preserve">Gulf Advanced Medical Research Institute (GAMRI)</w:t>
      </w:r>
    </w:p>
    <w:p>
      <w:pPr>
        <w:pStyle w:val="BodyText"/>
      </w:pPr>
      <w:r>
        <w:t xml:space="preserve">Address: 12th Floor, Al Hamra Tower, Al Hamra Street, Kuwait City, Kuwait</w:t>
      </w:r>
    </w:p>
    <w:p>
      <w:pPr>
        <w:pStyle w:val="BodyText"/>
      </w:pPr>
      <w:r>
        <w:t xml:space="preserve">Contact: research@gamri-kw.com | +965 2244 7890</w:t>
      </w:r>
    </w:p>
    <w:p>
      <w:pPr>
        <w:pStyle w:val="BodyText"/>
      </w:pPr>
      <w:r>
        <w:rPr>
          <w:bCs/>
          <w:b/>
        </w:rPr>
        <w:t xml:space="preserve">Client:</w:t>
      </w:r>
      <w:r>
        <w:t xml:space="preserve"> </w:t>
      </w:r>
      <w:r>
        <w:t xml:space="preserve">[Client Name / Institution]</w:t>
      </w:r>
    </w:p>
    <w:p>
      <w:pPr>
        <w:pStyle w:val="BodyText"/>
      </w:pPr>
      <w:r>
        <w:t xml:space="preserve">Address: [Client Address], Kuwait City, Kuwait</w:t>
      </w:r>
    </w:p>
    <w:p>
      <w:pPr>
        <w:pStyle w:val="BodyText"/>
      </w:pPr>
      <w:r>
        <w:t xml:space="preserve">Contact: [Client Email] | [Client Phone]</w:t>
      </w:r>
    </w:p>
    <w:bookmarkEnd w:id="21"/>
    <w:bookmarkStart w:id="22" w:name="Xb1e69cda2657fb3522d5f06f68500be55311324"/>
    <w:p>
      <w:pPr>
        <w:pStyle w:val="Heading2"/>
      </w:pPr>
      <w:r>
        <w:t xml:space="preserve">2. Scope of Services – Medical Researcher Engagement</w:t>
      </w:r>
    </w:p>
    <w:p>
      <w:pPr>
        <w:pStyle w:val="FirstParagraph"/>
      </w:pPr>
      <w:r>
        <w:t xml:space="preserve">This</w:t>
      </w:r>
      <w:r>
        <w:t xml:space="preserve"> </w:t>
      </w:r>
      <w:r>
        <w:t xml:space="preserve">Quotation Estimate</w:t>
      </w:r>
      <w:r>
        <w:t xml:space="preserve"> </w:t>
      </w:r>
      <w:r>
        <w:t xml:space="preserve">is issued by Gulf Advanced Medical Research Institute to provide a comprehensive and transparent cost breakdown for the engagement of a qualified</w:t>
      </w:r>
      <w:r>
        <w:t xml:space="preserve"> </w:t>
      </w:r>
      <w:r>
        <w:t xml:space="preserve">Medical Researcher</w:t>
      </w:r>
      <w:r>
        <w:t xml:space="preserve"> </w:t>
      </w:r>
      <w:r>
        <w:t xml:space="preserve">to conduct specialized research activities within the jurisdiction of</w:t>
      </w:r>
      <w:r>
        <w:t xml:space="preserve"> </w:t>
      </w:r>
      <w:r>
        <w:t xml:space="preserve">Kuwait, Kuwait City</w:t>
      </w:r>
      <w:r>
        <w:t xml:space="preserve">. The services outlined below are designed to meet the regulatory standards set forth by the Kuwait Ministry of Health and the Kuwait Institute for Medical Research (KIMR), ensuring full compliance with all local and international research ethics protocols.</w:t>
      </w:r>
    </w:p>
    <w:p>
      <w:pPr>
        <w:pStyle w:val="BodyText"/>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possess a minimum of a Doctor of Medicine (MD) or Doctor of Philosophy (PhD) in a relevant biomedical or clinical discipline, with a minimum of eight (8) years of post-doctoral research experience. The researcher will be based in</w:t>
      </w:r>
      <w:r>
        <w:t xml:space="preserve"> </w:t>
      </w:r>
      <w:r>
        <w:t xml:space="preserve">Kuwait, Kuwait City</w:t>
      </w:r>
      <w:r>
        <w:t xml:space="preserve"> </w:t>
      </w:r>
      <w:r>
        <w:t xml:space="preserve">and will operate under the direct supervision of the client's principal investigator or research director.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Medical Researcher – Full-time engagement for clinical trial design, literature review, and data analysis in Kuwait, Kuwait City</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Medical Researcher – Part-time support for statistical modeling, grant writing, and peer-reviewed publication preparation</w:t>
            </w:r>
          </w:p>
        </w:tc>
        <w:tc>
          <w:tcPr/>
          <w:p>
            <w:pPr>
              <w:pStyle w:val="Compact"/>
              <w:jc w:val="left"/>
            </w:pPr>
            <w:r>
              <w:t xml:space="preserve">12 months</w:t>
            </w:r>
          </w:p>
        </w:tc>
        <w:tc>
          <w:tcPr/>
          <w:p>
            <w:pPr>
              <w:pStyle w:val="Compact"/>
              <w:jc w:val="left"/>
            </w:pPr>
            <w:r>
              <w:t xml:space="preserve">920.00 / month</w:t>
            </w:r>
          </w:p>
        </w:tc>
        <w:tc>
          <w:tcPr/>
          <w:p>
            <w:pPr>
              <w:pStyle w:val="Compact"/>
              <w:jc w:val="left"/>
            </w:pPr>
            <w:r>
              <w:t xml:space="preserve">11,040.00</w:t>
            </w:r>
          </w:p>
        </w:tc>
      </w:tr>
      <w:tr>
        <w:tc>
          <w:tcPr/>
          <w:p>
            <w:pPr>
              <w:pStyle w:val="Compact"/>
              <w:jc w:val="left"/>
            </w:pPr>
            <w:r>
              <w:t xml:space="preserve">03</w:t>
            </w:r>
          </w:p>
        </w:tc>
        <w:tc>
          <w:tcPr/>
          <w:p>
            <w:pPr>
              <w:pStyle w:val="Compact"/>
              <w:jc w:val="left"/>
            </w:pPr>
            <w:r>
              <w:t xml:space="preserve">Laboratory access and consumables at KIMR-affiliated facility, Kuwait City</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Ethics Committee submission fees and regulatory compliance documentation for Kuwait Ministry of Health</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Medical Researcher travel and accommodation within Kuwait City for on-site data collection and hospital visits</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Project management, reporting, and quarterly progress review sessions in Kuwait, Kuwait City</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Intellectual property documentation and publication rights management for the Medical Researcher's output</w:t>
            </w:r>
          </w:p>
        </w:tc>
        <w:tc>
          <w:tcPr/>
          <w:p>
            <w:pPr>
              <w:pStyle w:val="Compact"/>
              <w:jc w:val="left"/>
            </w:pPr>
            <w:r>
              <w:t xml:space="preserve">One-time</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08</w:t>
            </w:r>
          </w:p>
        </w:tc>
        <w:tc>
          <w:tcPr/>
          <w:p>
            <w:pPr>
              <w:pStyle w:val="Compact"/>
              <w:jc w:val="left"/>
            </w:pPr>
            <w:r>
              <w:t xml:space="preserve">Contingency and miscellaneous research expenses (printing, software licenses, translation services)</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gridSpan w:val="4"/>
          </w:tcPr>
          <w:p>
            <w:pPr>
              <w:pStyle w:val="Compact"/>
              <w:jc w:val="left"/>
            </w:pPr>
            <w:r>
              <w:t xml:space="preserve">TOTAL ESTIMATED COST (KWD)</w:t>
            </w:r>
          </w:p>
        </w:tc>
        <w:tc>
          <w:tcPr/>
          <w:p>
            <w:pPr>
              <w:pStyle w:val="Compact"/>
              <w:jc w:val="left"/>
            </w:pPr>
            <w:r>
              <w:t xml:space="preserve">68,300.00</w:t>
            </w:r>
          </w:p>
        </w:tc>
      </w:tr>
      <w:tr>
        <w:tc>
          <w:tcPr>
            <w:gridSpan w:val="4"/>
          </w:tcPr>
          <w:p>
            <w:pPr>
              <w:pStyle w:val="Compact"/>
              <w:jc w:val="left"/>
            </w:pPr>
            <w:r>
              <w:t xml:space="preserve">TOTAL ESTIMATED COST (USD – approximate at 0.307 KWD/USD)</w:t>
            </w:r>
          </w:p>
        </w:tc>
        <w:tc>
          <w:tcPr/>
          <w:p>
            <w:pPr>
              <w:pStyle w:val="Compact"/>
              <w:jc w:val="left"/>
            </w:pPr>
            <w:r>
              <w:t xml:space="preserve">222,475.57</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rates and availability of the Medical Researcher must be reconfirmed in writing.</w:t>
      </w:r>
    </w:p>
    <w:p>
      <w:pPr>
        <w:numPr>
          <w:ilvl w:val="0"/>
          <w:numId w:val="1001"/>
        </w:numPr>
        <w:pStyle w:val="Compact"/>
      </w:pPr>
      <w:r>
        <w:rPr>
          <w:bCs/>
          <w:b/>
        </w:rPr>
        <w:t xml:space="preserve">Payment Schedule:</w:t>
      </w:r>
      <w:r>
        <w:t xml:space="preserve"> </w:t>
      </w:r>
      <w:r>
        <w:t xml:space="preserve">Payment shall be made in three (3) equal installments: 40% upon contract signing, 30% at the six-month milestone, and 30% upon final project delivery and acceptance in Kuwait, Kuwait City.</w:t>
      </w:r>
    </w:p>
    <w:p>
      <w:pPr>
        <w:numPr>
          <w:ilvl w:val="0"/>
          <w:numId w:val="1001"/>
        </w:numPr>
        <w:pStyle w:val="Compact"/>
      </w:pPr>
      <w:r>
        <w:rPr>
          <w:bCs/>
          <w:b/>
        </w:rPr>
        <w:t xml:space="preserve">Scope Changes:</w:t>
      </w:r>
      <w:r>
        <w:t xml:space="preserve"> </w:t>
      </w:r>
      <w:r>
        <w:t xml:space="preserve">Any modification to the scope of the Medical Researcher's duties, additional research phases, or extended timelines will require a revised Quotation Estimate issued as a formal amendment to this document.</w:t>
      </w:r>
    </w:p>
    <w:p>
      <w:pPr>
        <w:numPr>
          <w:ilvl w:val="0"/>
          <w:numId w:val="1001"/>
        </w:numPr>
        <w:pStyle w:val="Compact"/>
      </w:pPr>
      <w:r>
        <w:rPr>
          <w:bCs/>
          <w:b/>
        </w:rPr>
        <w:t xml:space="preserve">Regulatory Compliance:</w:t>
      </w:r>
      <w:r>
        <w:t xml:space="preserve"> </w:t>
      </w:r>
      <w:r>
        <w:t xml:space="preserve">The Medical Researcher shall adhere to all guidelines issued by the Kuwait Ministry of Health, the Kuwait Institute for Medical Research, and the International Council for Harmonisation (ICH) Good Clinical Practice (GCP) standards applicable in Kuwait.</w:t>
      </w:r>
    </w:p>
    <w:p>
      <w:pPr>
        <w:numPr>
          <w:ilvl w:val="0"/>
          <w:numId w:val="1001"/>
        </w:numPr>
        <w:pStyle w:val="Compact"/>
      </w:pPr>
      <w:r>
        <w:rPr>
          <w:bCs/>
          <w:b/>
        </w:rPr>
        <w:t xml:space="preserve">Confidentiality:</w:t>
      </w:r>
      <w:r>
        <w:t xml:space="preserve"> </w:t>
      </w:r>
      <w:r>
        <w:t xml:space="preserve">All data, patient records, and proprietary research materials handled by the Medical Researcher in Kuwait, Kuwait City, shall be treated as strictly confidential and subject to a Non-Disclosure Agreement (NDA) executed prior to commencement of work.</w:t>
      </w:r>
    </w:p>
    <w:p>
      <w:pPr>
        <w:numPr>
          <w:ilvl w:val="0"/>
          <w:numId w:val="1001"/>
        </w:numPr>
        <w:pStyle w:val="Compact"/>
      </w:pPr>
      <w:r>
        <w:rPr>
          <w:bCs/>
          <w:b/>
        </w:rPr>
        <w:t xml:space="preserve">Termination:</w:t>
      </w:r>
      <w:r>
        <w:t xml:space="preserve"> </w:t>
      </w:r>
      <w:r>
        <w:t xml:space="preserve">Either party may terminate the engagement with thirty (30) days' written notice. In such cases, the client shall be invoiced for all services rendered up to the termination date as per this Quotation Estimate.</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accordance with the laws of the State of Kuwait, with the seat of arbitration in Kuwait City.</w:t>
      </w:r>
    </w:p>
    <w:p>
      <w:pPr>
        <w:numPr>
          <w:ilvl w:val="0"/>
          <w:numId w:val="1001"/>
        </w:numPr>
        <w:pStyle w:val="Compact"/>
      </w:pPr>
      <w:r>
        <w:rPr>
          <w:bCs/>
          <w:b/>
        </w:rPr>
        <w:t xml:space="preserve">Tax and Duties:</w:t>
      </w:r>
      <w:r>
        <w:t xml:space="preserve"> </w:t>
      </w:r>
      <w:r>
        <w:t xml:space="preserve">All amounts stated in this Quotation Estimate are exclusive of any applicable Value Added Tax (VAT) or other governmental levies imposed by the State of Kuwait. The client shall be responsible for any such additional charges.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Medical Researcher</w:t>
      </w:r>
      <w:r>
        <w:t xml:space="preserve"> </w:t>
      </w:r>
      <w:r>
        <w:t xml:space="preserve">in</w:t>
      </w:r>
      <w:r>
        <w:t xml:space="preserve"> </w:t>
      </w:r>
      <w:r>
        <w:t xml:space="preserve">Kuwait, Kuwait City</w:t>
      </w:r>
      <w:r>
        <w:t xml:space="preserve">. This document does not constitute a binding contract until a formal service agreement is executed by both parties.</w:t>
      </w:r>
    </w:p>
    <w:p>
      <w:pPr>
        <w:pStyle w:val="BodyText"/>
      </w:pPr>
      <w:r>
        <w:rPr>
          <w:bCs/>
          <w:b/>
        </w:rPr>
        <w:t xml:space="preserve">For Gulf Advanced Medical Research Institute</w:t>
      </w:r>
      <w:r>
        <w:br/>
      </w:r>
      <w:r>
        <w:t xml:space="preserve">Authorized Signatory</w:t>
      </w:r>
      <w:r>
        <w:br/>
      </w:r>
      <w:r>
        <w:t xml:space="preserve">Name: Dr. Ahmad Al-Rashidi</w:t>
      </w:r>
      <w:r>
        <w:br/>
      </w:r>
      <w:r>
        <w:t xml:space="preserve">Title: Director of Research Operations</w:t>
      </w:r>
      <w:r>
        <w:br/>
      </w:r>
      <w:r>
        <w:t xml:space="preserve">Date: 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was prepared exclusively for the client identified above and is not transferable. All services are to be performed in Kuwait, Kuwait City, under the supervision of the engaged Medical Researcher. For inquiries or amendments, please contact research@gamri-kw.com or call +965 2244 7890.</w:t>
      </w:r>
    </w:p>
    <w:p>
      <w:pPr>
        <w:pStyle w:val="BodyText"/>
      </w:pPr>
      <w:r>
        <w:t xml:space="preserve">© 2025 Gulf Advanced Medical Research Institute – Kuwait City, Kuwait.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Kuwait Kuwait City</dc:title>
  <dc:creator/>
  <dc:language>en</dc:language>
  <cp:keywords/>
  <dcterms:created xsi:type="dcterms:W3CDTF">2026-10-10T08:10:10Z</dcterms:created>
  <dcterms:modified xsi:type="dcterms:W3CDTF">2026-10-10T08:10:10Z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