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quotation-estimate"/>
    <w:p>
      <w:pPr>
        <w:pStyle w:val="Heading1"/>
      </w:pPr>
      <w:r>
        <w:t xml:space="preserve">Quotation Estimate</w:t>
      </w:r>
    </w:p>
    <w:p>
      <w:pPr>
        <w:pStyle w:val="FirstParagraph"/>
      </w:pPr>
      <w:r>
        <w:t xml:space="preserve">Professional Medical Researcher Services</w:t>
      </w:r>
    </w:p>
    <w:p>
      <w:pPr>
        <w:pStyle w:val="BodyText"/>
      </w:pPr>
      <w:r>
        <w:t xml:space="preserve">Biomedical Sciences &amp; Clinical Research Division</w:t>
      </w:r>
    </w:p>
    <w:p>
      <w:pPr>
        <w:pStyle w:val="BodyText"/>
      </w:pPr>
      <w:r>
        <w:t xml:space="preserve">Av. Paseo de la Reforma 250, Piso 14, Col. Cuauhtémoc, 06600 Mexico City, Mexico</w:t>
      </w:r>
    </w:p>
    <w:p>
      <w:pPr>
        <w:pStyle w:val="BodyText"/>
      </w:pPr>
      <w:r>
        <w:t xml:space="preserve">Tel: +52 (55) 5512-3456 | Email: quotations@medresearchmexico.mx</w:t>
      </w:r>
    </w:p>
    <w:bookmarkEnd w:id="20"/>
    <w:p>
      <w:pPr>
        <w:pStyle w:val="BodyText"/>
      </w:pPr>
      <w:r>
        <w:rPr>
          <w:bCs/>
          <w:b/>
        </w:rPr>
        <w:t xml:space="preserve">Quotation No.:</w:t>
      </w:r>
      <w:r>
        <w:t xml:space="preserve"> </w:t>
      </w:r>
      <w:r>
        <w:t xml:space="preserve">QTE-MRC-2025-0487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Location:</w:t>
      </w:r>
      <w:r>
        <w:t xml:space="preserve"> </w:t>
      </w:r>
      <w:r>
        <w:t xml:space="preserve">Mexico Mexico City</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Instituto Nacional de Salud Pública (INSP)</w:t>
            </w:r>
          </w:p>
        </w:tc>
        <w:tc>
          <w:tcPr/>
          <w:p>
            <w:pPr>
              <w:pStyle w:val="Compact"/>
              <w:jc w:val="left"/>
            </w:pPr>
            <w:r>
              <w:rPr>
                <w:bCs/>
                <w:b/>
              </w:rPr>
              <w:t xml:space="preserve">Reference No.:</w:t>
            </w:r>
            <w:r>
              <w:t xml:space="preserve"> </w:t>
            </w:r>
            <w:r>
              <w:t xml:space="preserve">INSP-2025-REQ-1142</w:t>
            </w:r>
          </w:p>
        </w:tc>
      </w:tr>
      <w:tr>
        <w:tc>
          <w:tcPr/>
          <w:p>
            <w:pPr>
              <w:pStyle w:val="Compact"/>
              <w:jc w:val="left"/>
            </w:pPr>
            <w:r>
              <w:rPr>
                <w:bCs/>
                <w:b/>
              </w:rPr>
              <w:t xml:space="preserve">Contact Person:</w:t>
            </w:r>
            <w:r>
              <w:t xml:space="preserve"> </w:t>
            </w:r>
            <w:r>
              <w:t xml:space="preserve">Dra. María Fernanda Gutiérrez</w:t>
            </w:r>
          </w:p>
        </w:tc>
        <w:tc>
          <w:tcPr/>
          <w:p>
            <w:pPr>
              <w:pStyle w:val="Compact"/>
              <w:jc w:val="left"/>
            </w:pPr>
            <w:r>
              <w:rPr>
                <w:bCs/>
                <w:b/>
              </w:rPr>
              <w:t xml:space="preserve">Department:</w:t>
            </w:r>
            <w:r>
              <w:t xml:space="preserve"> </w:t>
            </w:r>
            <w:r>
              <w:t xml:space="preserve">Epidemiología y Salud Pública</w:t>
            </w:r>
          </w:p>
        </w:tc>
      </w:tr>
      <w:tr>
        <w:tc>
          <w:tcPr/>
          <w:p>
            <w:pPr>
              <w:pStyle w:val="Compact"/>
              <w:jc w:val="left"/>
            </w:pPr>
            <w:r>
              <w:rPr>
                <w:bCs/>
                <w:b/>
              </w:rPr>
              <w:t xml:space="preserve">Address:</w:t>
            </w:r>
            <w:r>
              <w:t xml:space="preserve"> </w:t>
            </w:r>
            <w:r>
              <w:t xml:space="preserve">Av. Insurgentes Sur 1500, Col. Cuauhtémoc, 03940 Mexico City, Mexico</w:t>
            </w:r>
          </w:p>
        </w:tc>
        <w:tc>
          <w:tcPr/>
          <w:p>
            <w:pPr>
              <w:pStyle w:val="Compact"/>
              <w:jc w:val="left"/>
            </w:pPr>
            <w:r>
              <w:rPr>
                <w:bCs/>
                <w:b/>
              </w:rPr>
              <w:t xml:space="preserve">Phone:</w:t>
            </w:r>
            <w:r>
              <w:t xml:space="preserve"> </w:t>
            </w:r>
            <w:r>
              <w:t xml:space="preserve">+52 (55) 5573-0000</w:t>
            </w:r>
          </w:p>
        </w:tc>
      </w:tr>
    </w:tbl>
    <w:bookmarkEnd w:id="21"/>
    <w:bookmarkStart w:id="22" w:name="Xb1e69cda2657fb3522d5f06f68500be55311324"/>
    <w:p>
      <w:pPr>
        <w:pStyle w:val="Heading2"/>
      </w:pPr>
      <w:r>
        <w:t xml:space="preserve">2. Scope of Services – Medical Researcher Engagement</w:t>
      </w:r>
    </w:p>
    <w:p>
      <w:pPr>
        <w:pStyle w:val="FirstParagraph"/>
      </w:pPr>
      <w:r>
        <w:t xml:space="preserve">This</w:t>
      </w:r>
      <w:r>
        <w:t xml:space="preserve"> </w:t>
      </w:r>
      <w:r>
        <w:t xml:space="preserve">Quotation Estimate</w:t>
      </w:r>
      <w:r>
        <w:t xml:space="preserve"> </w:t>
      </w:r>
      <w:r>
        <w:t xml:space="preserve">is issued in response to the formal request for the engagement of a qualified</w:t>
      </w:r>
      <w:r>
        <w:t xml:space="preserve"> </w:t>
      </w:r>
      <w:r>
        <w:t xml:space="preserve">Medical Researcher</w:t>
      </w:r>
      <w:r>
        <w:t xml:space="preserve"> </w:t>
      </w:r>
      <w:r>
        <w:t xml:space="preserve">to conduct a comprehensive epidemiological study on respiratory disease prevalence among urban populations in</w:t>
      </w:r>
      <w:r>
        <w:t xml:space="preserve"> </w:t>
      </w:r>
      <w:r>
        <w:t xml:space="preserve">Mexico Mexico City</w:t>
      </w:r>
      <w:r>
        <w:t xml:space="preserve">. The scope encompasses the following deliverables and professional activities:</w:t>
      </w:r>
    </w:p>
    <w:p>
      <w:pPr>
        <w:numPr>
          <w:ilvl w:val="0"/>
          <w:numId w:val="1001"/>
        </w:numPr>
        <w:pStyle w:val="Compact"/>
      </w:pPr>
      <w:r>
        <w:t xml:space="preserve">Design and implementation of a multi-site observational study across five (5) boroughs (alcaldías) within Mexico Mexico City, including Cuauhtémoc, Benito Juárez, Coyoacán, Iztapalapa, and Miguel Hidalgo.</w:t>
      </w:r>
    </w:p>
    <w:p>
      <w:pPr>
        <w:numPr>
          <w:ilvl w:val="0"/>
          <w:numId w:val="1001"/>
        </w:numPr>
        <w:pStyle w:val="Compact"/>
      </w:pPr>
      <w:r>
        <w:t xml:space="preserve">Recruitment, screening, and data collection from a minimum cohort of 2,500 participants aged 18 to 75 years.</w:t>
      </w:r>
    </w:p>
    <w:p>
      <w:pPr>
        <w:numPr>
          <w:ilvl w:val="0"/>
          <w:numId w:val="1001"/>
        </w:numPr>
        <w:pStyle w:val="Compact"/>
      </w:pPr>
      <w:r>
        <w:t xml:space="preserve">Development of validated survey instruments in Spanish, adapted to the cultural and linguistic context of Mexico Mexico City residents.</w:t>
      </w:r>
    </w:p>
    <w:p>
      <w:pPr>
        <w:numPr>
          <w:ilvl w:val="0"/>
          <w:numId w:val="1001"/>
        </w:numPr>
        <w:pStyle w:val="Compact"/>
      </w:pPr>
      <w:r>
        <w:t xml:space="preserve">Statistical analysis, data interpretation, and preparation of peer-reviewed manuscripts for submission to indexed journals.</w:t>
      </w:r>
    </w:p>
    <w:p>
      <w:pPr>
        <w:numPr>
          <w:ilvl w:val="0"/>
          <w:numId w:val="1001"/>
        </w:numPr>
        <w:pStyle w:val="Compact"/>
      </w:pPr>
      <w:r>
        <w:t xml:space="preserve">Two (2) interim progress reports and one (1) final comprehensive report delivered to the client within the project timeline.</w:t>
      </w:r>
    </w:p>
    <w:p>
      <w:pPr>
        <w:numPr>
          <w:ilvl w:val="0"/>
          <w:numId w:val="1001"/>
        </w:numPr>
        <w:pStyle w:val="Compact"/>
      </w:pPr>
      <w:r>
        <w:t xml:space="preserve">Compliance with all ethical standards established by the Comité de Ética en Investigación (CEI) and the Mexican Federal Law for the Protection of Personal Data (LFPDPPP).</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Cost (MXN)</w:t>
            </w:r>
          </w:p>
        </w:tc>
        <w:tc>
          <w:tcPr/>
          <w:p>
            <w:pPr>
              <w:pStyle w:val="Compact"/>
              <w:jc w:val="left"/>
            </w:pPr>
            <w:r>
              <w:t xml:space="preserve">Total (MXN)</w:t>
            </w:r>
          </w:p>
        </w:tc>
      </w:tr>
      <w:tr>
        <w:tc>
          <w:tcPr/>
          <w:p>
            <w:pPr>
              <w:pStyle w:val="Compact"/>
              <w:jc w:val="left"/>
            </w:pPr>
            <w:r>
              <w:t xml:space="preserve">01</w:t>
            </w:r>
          </w:p>
        </w:tc>
        <w:tc>
          <w:tcPr/>
          <w:p>
            <w:pPr>
              <w:pStyle w:val="Compact"/>
              <w:jc w:val="left"/>
            </w:pPr>
            <w:r>
              <w:t xml:space="preserve">Senior Medical Researcher – Principal Investigator (MD, PhD in Epidemiology) – monthly professional fee</w:t>
            </w:r>
          </w:p>
        </w:tc>
        <w:tc>
          <w:tcPr/>
          <w:p>
            <w:pPr>
              <w:pStyle w:val="Compact"/>
              <w:jc w:val="left"/>
            </w:pPr>
            <w:r>
              <w:t xml:space="preserve">8 months</w:t>
            </w:r>
          </w:p>
        </w:tc>
        <w:tc>
          <w:tcPr/>
          <w:p>
            <w:pPr>
              <w:pStyle w:val="Compact"/>
              <w:jc w:val="left"/>
            </w:pPr>
            <w:r>
              <w:t xml:space="preserve">$185,000.00</w:t>
            </w:r>
          </w:p>
        </w:tc>
        <w:tc>
          <w:tcPr/>
          <w:p>
            <w:pPr>
              <w:pStyle w:val="Compact"/>
              <w:jc w:val="left"/>
            </w:pPr>
            <w:r>
              <w:t xml:space="preserve">$1,480,000.00</w:t>
            </w:r>
          </w:p>
        </w:tc>
      </w:tr>
      <w:tr>
        <w:tc>
          <w:tcPr/>
          <w:p>
            <w:pPr>
              <w:pStyle w:val="Compact"/>
              <w:jc w:val="left"/>
            </w:pPr>
            <w:r>
              <w:t xml:space="preserve">02</w:t>
            </w:r>
          </w:p>
        </w:tc>
        <w:tc>
          <w:tcPr/>
          <w:p>
            <w:pPr>
              <w:pStyle w:val="Compact"/>
              <w:jc w:val="left"/>
            </w:pPr>
            <w:r>
              <w:t xml:space="preserve">Associate Medical Researcher – Co-Investigator (MD, MSc in Biostatistics) – monthly professional fee</w:t>
            </w:r>
          </w:p>
        </w:tc>
        <w:tc>
          <w:tcPr/>
          <w:p>
            <w:pPr>
              <w:pStyle w:val="Compact"/>
              <w:jc w:val="left"/>
            </w:pPr>
            <w:r>
              <w:t xml:space="preserve">8 months</w:t>
            </w:r>
          </w:p>
        </w:tc>
        <w:tc>
          <w:tcPr/>
          <w:p>
            <w:pPr>
              <w:pStyle w:val="Compact"/>
              <w:jc w:val="left"/>
            </w:pPr>
            <w:r>
              <w:t xml:space="preserve">$120,000.00</w:t>
            </w:r>
          </w:p>
        </w:tc>
        <w:tc>
          <w:tcPr/>
          <w:p>
            <w:pPr>
              <w:pStyle w:val="Compact"/>
              <w:jc w:val="left"/>
            </w:pPr>
            <w:r>
              <w:t xml:space="preserve">$960,000.00</w:t>
            </w:r>
          </w:p>
        </w:tc>
      </w:tr>
      <w:tr>
        <w:tc>
          <w:tcPr/>
          <w:p>
            <w:pPr>
              <w:pStyle w:val="Compact"/>
              <w:jc w:val="left"/>
            </w:pPr>
            <w:r>
              <w:t xml:space="preserve">03</w:t>
            </w:r>
          </w:p>
        </w:tc>
        <w:tc>
          <w:tcPr/>
          <w:p>
            <w:pPr>
              <w:pStyle w:val="Compact"/>
              <w:jc w:val="left"/>
            </w:pPr>
            <w:r>
              <w:t xml:space="preserve">Field Data Collection Team (4 research assistants) – monthly operational cost in Mexico Mexico City</w:t>
            </w:r>
          </w:p>
        </w:tc>
        <w:tc>
          <w:tcPr/>
          <w:p>
            <w:pPr>
              <w:pStyle w:val="Compact"/>
              <w:jc w:val="left"/>
            </w:pPr>
            <w:r>
              <w:t xml:space="preserve">6 months</w:t>
            </w:r>
          </w:p>
        </w:tc>
        <w:tc>
          <w:tcPr/>
          <w:p>
            <w:pPr>
              <w:pStyle w:val="Compact"/>
              <w:jc w:val="left"/>
            </w:pPr>
            <w:r>
              <w:t xml:space="preserve">$95,000.00</w:t>
            </w:r>
          </w:p>
        </w:tc>
        <w:tc>
          <w:tcPr/>
          <w:p>
            <w:pPr>
              <w:pStyle w:val="Compact"/>
              <w:jc w:val="left"/>
            </w:pPr>
            <w:r>
              <w:t xml:space="preserve">$570,000.00</w:t>
            </w:r>
          </w:p>
        </w:tc>
      </w:tr>
      <w:tr>
        <w:tc>
          <w:tcPr/>
          <w:p>
            <w:pPr>
              <w:pStyle w:val="Compact"/>
              <w:jc w:val="left"/>
            </w:pPr>
            <w:r>
              <w:t xml:space="preserve">04</w:t>
            </w:r>
          </w:p>
        </w:tc>
        <w:tc>
          <w:tcPr/>
          <w:p>
            <w:pPr>
              <w:pStyle w:val="Compact"/>
              <w:jc w:val="left"/>
            </w:pPr>
            <w:r>
              <w:t xml:space="preserve">Laboratory analysis and diagnostic testing (spirometry, blood panels, environmental sampling) – per participant</w:t>
            </w:r>
          </w:p>
        </w:tc>
        <w:tc>
          <w:tcPr/>
          <w:p>
            <w:pPr>
              <w:pStyle w:val="Compact"/>
              <w:jc w:val="left"/>
            </w:pPr>
            <w:r>
              <w:t xml:space="preserve">2,500 participants</w:t>
            </w:r>
          </w:p>
        </w:tc>
        <w:tc>
          <w:tcPr/>
          <w:p>
            <w:pPr>
              <w:pStyle w:val="Compact"/>
              <w:jc w:val="left"/>
            </w:pPr>
            <w:r>
              <w:t xml:space="preserve">$1,850.00</w:t>
            </w:r>
          </w:p>
        </w:tc>
        <w:tc>
          <w:tcPr/>
          <w:p>
            <w:pPr>
              <w:pStyle w:val="Compact"/>
              <w:jc w:val="left"/>
            </w:pPr>
            <w:r>
              <w:t xml:space="preserve">$4,625,000.00</w:t>
            </w:r>
          </w:p>
        </w:tc>
      </w:tr>
      <w:tr>
        <w:tc>
          <w:tcPr/>
          <w:p>
            <w:pPr>
              <w:pStyle w:val="Compact"/>
              <w:jc w:val="left"/>
            </w:pPr>
            <w:r>
              <w:t xml:space="preserve">05</w:t>
            </w:r>
          </w:p>
        </w:tc>
        <w:tc>
          <w:tcPr/>
          <w:p>
            <w:pPr>
              <w:pStyle w:val="Compact"/>
              <w:jc w:val="left"/>
            </w:pPr>
            <w:r>
              <w:t xml:space="preserve">Statistical software licenses (SPSS, R, Stata) and data management platform – annual subscription</w:t>
            </w:r>
          </w:p>
        </w:tc>
        <w:tc>
          <w:tcPr/>
          <w:p>
            <w:pPr>
              <w:pStyle w:val="Compact"/>
              <w:jc w:val="left"/>
            </w:pPr>
            <w:r>
              <w:t xml:space="preserve">1 year</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06</w:t>
            </w:r>
          </w:p>
        </w:tc>
        <w:tc>
          <w:tcPr/>
          <w:p>
            <w:pPr>
              <w:pStyle w:val="Compact"/>
              <w:jc w:val="left"/>
            </w:pPr>
            <w:r>
              <w:t xml:space="preserve">Ethical review, regulatory filings, and institutional approvals in Mexico Mexico City</w:t>
            </w:r>
          </w:p>
        </w:tc>
        <w:tc>
          <w:tcPr/>
          <w:p>
            <w:pPr>
              <w:pStyle w:val="Compact"/>
              <w:jc w:val="left"/>
            </w:pPr>
            <w:r>
              <w:t xml:space="preserve">Lump sum</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07</w:t>
            </w:r>
          </w:p>
        </w:tc>
        <w:tc>
          <w:tcPr/>
          <w:p>
            <w:pPr>
              <w:pStyle w:val="Compact"/>
              <w:jc w:val="left"/>
            </w:pPr>
            <w:r>
              <w:t xml:space="preserve">Travel, logistics, and per diem for fieldwork across Mexico Mexico City boroughs</w:t>
            </w:r>
          </w:p>
        </w:tc>
        <w:tc>
          <w:tcPr/>
          <w:p>
            <w:pPr>
              <w:pStyle w:val="Compact"/>
              <w:jc w:val="left"/>
            </w:pPr>
            <w:r>
              <w:t xml:space="preserve">8 months</w:t>
            </w:r>
          </w:p>
        </w:tc>
        <w:tc>
          <w:tcPr/>
          <w:p>
            <w:pPr>
              <w:pStyle w:val="Compact"/>
              <w:jc w:val="left"/>
            </w:pPr>
            <w:r>
              <w:t xml:space="preserve">$42,000.00</w:t>
            </w:r>
          </w:p>
        </w:tc>
        <w:tc>
          <w:tcPr/>
          <w:p>
            <w:pPr>
              <w:pStyle w:val="Compact"/>
              <w:jc w:val="left"/>
            </w:pPr>
            <w:r>
              <w:t xml:space="preserve">$336,000.00</w:t>
            </w:r>
          </w:p>
        </w:tc>
      </w:tr>
      <w:tr>
        <w:tc>
          <w:tcPr/>
          <w:p>
            <w:pPr>
              <w:pStyle w:val="Compact"/>
              <w:jc w:val="left"/>
            </w:pPr>
            <w:r>
              <w:t xml:space="preserve">08</w:t>
            </w:r>
          </w:p>
        </w:tc>
        <w:tc>
          <w:tcPr/>
          <w:p>
            <w:pPr>
              <w:pStyle w:val="Compact"/>
              <w:jc w:val="left"/>
            </w:pPr>
            <w:r>
              <w:t xml:space="preserve">Manuscript preparation, peer-review support, and publication fees</w:t>
            </w:r>
          </w:p>
        </w:tc>
        <w:tc>
          <w:tcPr/>
          <w:p>
            <w:pPr>
              <w:pStyle w:val="Compact"/>
              <w:jc w:val="left"/>
            </w:pPr>
            <w:r>
              <w:t xml:space="preserve">3 publications</w:t>
            </w:r>
          </w:p>
        </w:tc>
        <w:tc>
          <w:tcPr/>
          <w:p>
            <w:pPr>
              <w:pStyle w:val="Compact"/>
              <w:jc w:val="left"/>
            </w:pPr>
            <w:r>
              <w:t xml:space="preserve">$65,000.00</w:t>
            </w:r>
          </w:p>
        </w:tc>
        <w:tc>
          <w:tcPr/>
          <w:p>
            <w:pPr>
              <w:pStyle w:val="Compact"/>
              <w:jc w:val="left"/>
            </w:pPr>
            <w:r>
              <w:t xml:space="preserve">$195,000.00</w:t>
            </w:r>
          </w:p>
        </w:tc>
      </w:tr>
      <w:tr>
        <w:tc>
          <w:tcPr/>
          <w:p>
            <w:pPr>
              <w:pStyle w:val="Compact"/>
              <w:jc w:val="left"/>
            </w:pPr>
            <w:r>
              <w:t xml:space="preserve">09</w:t>
            </w:r>
          </w:p>
        </w:tc>
        <w:tc>
          <w:tcPr/>
          <w:p>
            <w:pPr>
              <w:pStyle w:val="Compact"/>
              <w:jc w:val="left"/>
            </w:pPr>
            <w:r>
              <w:t xml:space="preserve">Project management, coordination, and administrative overhead (10%)</w:t>
            </w:r>
          </w:p>
        </w:tc>
        <w:tc>
          <w:tcPr/>
          <w:p>
            <w:pPr>
              <w:pStyle w:val="Compact"/>
              <w:jc w:val="left"/>
            </w:pPr>
            <w:r>
              <w:t xml:space="preserve">Full project</w:t>
            </w:r>
          </w:p>
        </w:tc>
        <w:tc>
          <w:tcPr/>
          <w:p>
            <w:pPr>
              <w:pStyle w:val="Compact"/>
              <w:jc w:val="left"/>
            </w:pPr>
            <w:r>
              <w:t xml:space="preserve">—</w:t>
            </w:r>
          </w:p>
        </w:tc>
        <w:tc>
          <w:tcPr/>
          <w:p>
            <w:pPr>
              <w:pStyle w:val="Compact"/>
              <w:jc w:val="left"/>
            </w:pPr>
            <w:r>
              <w:t xml:space="preserve">$845,600.00</w:t>
            </w:r>
          </w:p>
        </w:tc>
      </w:tr>
      <w:tr>
        <w:tc>
          <w:tcPr>
            <w:gridSpan w:val="4"/>
          </w:tcPr>
          <w:p>
            <w:pPr>
              <w:pStyle w:val="Compact"/>
              <w:jc w:val="right"/>
            </w:pPr>
            <w:r>
              <w:t xml:space="preserve">SUBTOTAL (MXN)</w:t>
            </w:r>
          </w:p>
        </w:tc>
        <w:tc>
          <w:tcPr/>
          <w:p>
            <w:pPr>
              <w:pStyle w:val="Compact"/>
              <w:jc w:val="left"/>
            </w:pPr>
            <w:r>
              <w:t xml:space="preserve">$9,241,600.00</w:t>
            </w:r>
          </w:p>
        </w:tc>
      </w:tr>
      <w:tr>
        <w:tc>
          <w:tcPr>
            <w:gridSpan w:val="4"/>
          </w:tcPr>
          <w:p>
            <w:pPr>
              <w:pStyle w:val="Compact"/>
              <w:jc w:val="right"/>
            </w:pPr>
            <w:r>
              <w:t xml:space="preserve">IVA (16% – Mexican Value Added Tax)</w:t>
            </w:r>
          </w:p>
        </w:tc>
        <w:tc>
          <w:tcPr/>
          <w:p>
            <w:pPr>
              <w:pStyle w:val="Compact"/>
              <w:jc w:val="left"/>
            </w:pPr>
            <w:r>
              <w:t xml:space="preserve">$1,478,656.00</w:t>
            </w:r>
          </w:p>
        </w:tc>
      </w:tr>
      <w:tr>
        <w:tc>
          <w:tcPr>
            <w:gridSpan w:val="4"/>
          </w:tcPr>
          <w:p>
            <w:pPr>
              <w:pStyle w:val="Compact"/>
              <w:jc w:val="right"/>
            </w:pPr>
            <w:r>
              <w:t xml:space="preserve">GRAND TOTAL (MXN)</w:t>
            </w:r>
          </w:p>
        </w:tc>
        <w:tc>
          <w:tcPr/>
          <w:p>
            <w:pPr>
              <w:pStyle w:val="Compact"/>
              <w:jc w:val="left"/>
            </w:pPr>
            <w:r>
              <w:t xml:space="preserve">$10,720,256.00</w:t>
            </w:r>
          </w:p>
        </w:tc>
      </w:tr>
    </w:tbl>
    <w:bookmarkEnd w:id="23"/>
    <w:bookmarkStart w:id="24" w:name="project-timeline"/>
    <w:p>
      <w:pPr>
        <w:pStyle w:val="Heading2"/>
      </w:pPr>
      <w:r>
        <w:t xml:space="preserve">4.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Timeline</w:t>
            </w:r>
          </w:p>
        </w:tc>
      </w:tr>
      <w:tr>
        <w:tc>
          <w:tcPr/>
          <w:p>
            <w:pPr>
              <w:pStyle w:val="Compact"/>
              <w:jc w:val="left"/>
            </w:pPr>
            <w:r>
              <w:t xml:space="preserve">Phase 1</w:t>
            </w:r>
          </w:p>
        </w:tc>
        <w:tc>
          <w:tcPr/>
          <w:p>
            <w:pPr>
              <w:pStyle w:val="Compact"/>
              <w:jc w:val="left"/>
            </w:pPr>
            <w:r>
              <w:t xml:space="preserve">Protocol finalization, ethical approval, and team mobilization in Mexico Mexico City</w:t>
            </w:r>
          </w:p>
        </w:tc>
        <w:tc>
          <w:tcPr/>
          <w:p>
            <w:pPr>
              <w:pStyle w:val="Compact"/>
              <w:jc w:val="left"/>
            </w:pPr>
            <w:r>
              <w:t xml:space="preserve">Months 1–2</w:t>
            </w:r>
          </w:p>
        </w:tc>
      </w:tr>
      <w:tr>
        <w:tc>
          <w:tcPr/>
          <w:p>
            <w:pPr>
              <w:pStyle w:val="Compact"/>
              <w:jc w:val="left"/>
            </w:pPr>
            <w:r>
              <w:t xml:space="preserve">Phase 2</w:t>
            </w:r>
          </w:p>
        </w:tc>
        <w:tc>
          <w:tcPr/>
          <w:p>
            <w:pPr>
              <w:pStyle w:val="Compact"/>
              <w:jc w:val="left"/>
            </w:pPr>
            <w:r>
              <w:t xml:space="preserve">Participant recruitment and field data collection across all five boroughs</w:t>
            </w:r>
          </w:p>
        </w:tc>
        <w:tc>
          <w:tcPr/>
          <w:p>
            <w:pPr>
              <w:pStyle w:val="Compact"/>
              <w:jc w:val="left"/>
            </w:pPr>
            <w:r>
              <w:t xml:space="preserve">Months 3–6</w:t>
            </w:r>
          </w:p>
        </w:tc>
      </w:tr>
      <w:tr>
        <w:tc>
          <w:tcPr/>
          <w:p>
            <w:pPr>
              <w:pStyle w:val="Compact"/>
              <w:jc w:val="left"/>
            </w:pPr>
            <w:r>
              <w:t xml:space="preserve">Phase 3</w:t>
            </w:r>
          </w:p>
        </w:tc>
        <w:tc>
          <w:tcPr/>
          <w:p>
            <w:pPr>
              <w:pStyle w:val="Compact"/>
              <w:jc w:val="left"/>
            </w:pPr>
            <w:r>
              <w:t xml:space="preserve">Laboratory processing, statistical analysis, and interim reporting</w:t>
            </w:r>
          </w:p>
        </w:tc>
        <w:tc>
          <w:tcPr/>
          <w:p>
            <w:pPr>
              <w:pStyle w:val="Compact"/>
              <w:jc w:val="left"/>
            </w:pPr>
            <w:r>
              <w:t xml:space="preserve">Months 6–8</w:t>
            </w:r>
          </w:p>
        </w:tc>
      </w:tr>
      <w:tr>
        <w:tc>
          <w:tcPr/>
          <w:p>
            <w:pPr>
              <w:pStyle w:val="Compact"/>
              <w:jc w:val="left"/>
            </w:pPr>
            <w:r>
              <w:t xml:space="preserve">Phase 4</w:t>
            </w:r>
          </w:p>
        </w:tc>
        <w:tc>
          <w:tcPr/>
          <w:p>
            <w:pPr>
              <w:pStyle w:val="Compact"/>
              <w:jc w:val="left"/>
            </w:pPr>
            <w:r>
              <w:t xml:space="preserve">Final report delivery, manuscript submission, and project closure</w:t>
            </w:r>
          </w:p>
        </w:tc>
        <w:tc>
          <w:tcPr/>
          <w:p>
            <w:pPr>
              <w:pStyle w:val="Compact"/>
              <w:jc w:val="left"/>
            </w:pPr>
            <w:r>
              <w:t xml:space="preserve">Months 8–10</w:t>
            </w:r>
          </w:p>
        </w:tc>
      </w:tr>
    </w:tbl>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issuance. Beyond this period, pricing may be subject to revision due to market fluctuations, currency exchange rates, or changes in regulatory requirements within Mexico Mexico City.</w:t>
      </w:r>
    </w:p>
    <w:p>
      <w:pPr>
        <w:numPr>
          <w:ilvl w:val="0"/>
          <w:numId w:val="1002"/>
        </w:numPr>
        <w:pStyle w:val="Compact"/>
      </w:pPr>
      <w:r>
        <w:t xml:space="preserve">All costs are quoted in Mexican Pesos (MXN) and are inclusive of applicable local taxes unless otherwise stated. The 16% IVA (Impuesto al Valor Agregado) is itemized separately in accordance with Mexican tax law (Ley del IVA).</w:t>
      </w:r>
    </w:p>
    <w:p>
      <w:pPr>
        <w:numPr>
          <w:ilvl w:val="0"/>
          <w:numId w:val="1002"/>
        </w:numPr>
        <w:pStyle w:val="Compact"/>
      </w:pPr>
      <w:r>
        <w:t xml:space="preserve">Payment terms: 30% advance upon contract execution, 40% upon completion of Phase 2 (field data collection), and 30% upon delivery of the final report. All payments shall be made via bank transfer to the account designated by the service provider.</w:t>
      </w:r>
    </w:p>
    <w:p>
      <w:pPr>
        <w:numPr>
          <w:ilvl w:val="0"/>
          <w:numId w:val="1002"/>
        </w:numPr>
        <w:pStyle w:val="Compact"/>
      </w:pPr>
      <w:r>
        <w:t xml:space="preserve">The</w:t>
      </w:r>
      <w:r>
        <w:t xml:space="preserve"> </w:t>
      </w:r>
      <w:r>
        <w:t xml:space="preserve">Medical Researcher</w:t>
      </w:r>
      <w:r>
        <w:t xml:space="preserve"> </w:t>
      </w:r>
      <w:r>
        <w:t xml:space="preserve">team shall maintain full professional confidentiality regarding all participant data, proprietary methodologies, and unpublished findings. A Non-Disclosure Agreement (NDA) shall be executed prior to project commencement.</w:t>
      </w:r>
    </w:p>
    <w:p>
      <w:pPr>
        <w:numPr>
          <w:ilvl w:val="0"/>
          <w:numId w:val="1002"/>
        </w:numPr>
        <w:pStyle w:val="Compact"/>
      </w:pPr>
      <w:r>
        <w:t xml:space="preserve">All research activities shall be conducted in strict compliance with the Mexican General Health Law (Ley General de Salud), the Guidelines for Good Clinical Practice (BPC), and the institutional protocols of the client organization located in Mexico Mexico City.</w:t>
      </w:r>
    </w:p>
    <w:p>
      <w:pPr>
        <w:numPr>
          <w:ilvl w:val="0"/>
          <w:numId w:val="1002"/>
        </w:numPr>
        <w:pStyle w:val="Compact"/>
      </w:pPr>
      <w:r>
        <w:t xml:space="preserve">Any scope modifications, additional participant cohorts, or extended timelines beyond the original plan shall be subject to a supplementary</w:t>
      </w:r>
      <w:r>
        <w:t xml:space="preserve"> </w:t>
      </w:r>
      <w:r>
        <w:t xml:space="preserve">Quotation Estimate</w:t>
      </w:r>
      <w:r>
        <w:t xml:space="preserve"> </w:t>
      </w:r>
      <w:r>
        <w:t xml:space="preserve">issued in writing and approved by both parties before implementation.</w:t>
      </w:r>
    </w:p>
    <w:p>
      <w:pPr>
        <w:numPr>
          <w:ilvl w:val="0"/>
          <w:numId w:val="1002"/>
        </w:numPr>
        <w:pStyle w:val="Compact"/>
      </w:pPr>
      <w:r>
        <w:t xml:space="preserve">Intellectual property arising from this engagement shall be jointly owned by the client and the service provider, as stipulated in the master service agreement. Publication rights shall be negotiated in good faith.</w:t>
      </w:r>
    </w:p>
    <w:p>
      <w:pPr>
        <w:numPr>
          <w:ilvl w:val="0"/>
          <w:numId w:val="1002"/>
        </w:numPr>
        <w:pStyle w:val="Compact"/>
      </w:pPr>
      <w:r>
        <w:t xml:space="preserve">Force majeure events, including but not limited to public health emergencies, natural disasters, or government-mandated restrictions affecting operations in Mexico Mexico City, shall suspend project timelines without penalty to either party.</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A formal service agreement must be executed by both parties prior to the commencement of any work.</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Medical Researcher</w:t>
      </w:r>
      <w:r>
        <w:t xml:space="preserve"> </w:t>
      </w:r>
      <w:r>
        <w:t xml:space="preserve">services to be performed in</w:t>
      </w:r>
      <w:r>
        <w:t xml:space="preserve"> </w:t>
      </w:r>
      <w:r>
        <w:t xml:space="preserve">Mexico Mexico City</w:t>
      </w:r>
      <w:r>
        <w:t xml:space="preserve"> </w:t>
      </w:r>
      <w:r>
        <w:t xml:space="preserve">and agrees to the terms, conditions, and pricing outlined herein. This acceptance authorizes the preparation of a formal service contract for execution.</w:t>
      </w:r>
    </w:p>
    <w:p>
      <w:pPr>
        <w:pStyle w:val="BodyText"/>
      </w:pPr>
      <w:r>
        <w:rPr>
          <w:bCs/>
          <w:b/>
        </w:rPr>
        <w:t xml:space="preserve">For the Service Provider</w:t>
      </w:r>
      <w:r>
        <w:br/>
      </w:r>
      <w:r>
        <w:t xml:space="preserve">Dr. Alejandro Ramírez Torres, MD, PhD</w:t>
      </w:r>
      <w:r>
        <w:br/>
      </w:r>
      <w:r>
        <w:t xml:space="preserve">Director, Biomedical Sciences Division</w:t>
      </w:r>
      <w:r>
        <w:br/>
      </w:r>
      <w:r>
        <w:t xml:space="preserve">Date: ______________________</w:t>
      </w:r>
    </w:p>
    <w:p>
      <w:pPr>
        <w:pStyle w:val="BodyText"/>
      </w:pPr>
      <w:r>
        <w:rPr>
          <w:bCs/>
          <w:b/>
        </w:rPr>
        <w:t xml:space="preserve">For the Client</w:t>
      </w:r>
      <w:r>
        <w:br/>
      </w:r>
      <w:r>
        <w:t xml:space="preserve">Dra. María Fernanda Gutiérrez</w:t>
      </w:r>
      <w:r>
        <w:br/>
      </w:r>
      <w:r>
        <w:t xml:space="preserve">Jefa de Departamento, INSP</w:t>
      </w:r>
      <w:r>
        <w:br/>
      </w:r>
      <w:r>
        <w:t xml:space="preserve">Date: ______________________</w:t>
      </w:r>
    </w:p>
    <w:p>
      <w:pPr>
        <w:pStyle w:val="BodyText"/>
      </w:pPr>
      <w:r>
        <w:t xml:space="preserve">This Quotation Estimate was prepared for use in Mexico Mexico City and is governed by the laws of the United Mexican States.</w:t>
      </w:r>
    </w:p>
    <w:p>
      <w:pPr>
        <w:pStyle w:val="BodyText"/>
      </w:pPr>
      <w:r>
        <w:t xml:space="preserve">Document Reference: QTE-MRC-2025-0487 | Page 1 of 1 | Confidential – For Official Use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Mexico Mexico City</dc:title>
  <dc:creator/>
  <dc:language>en</dc:language>
  <cp:keywords/>
  <dcterms:created xsi:type="dcterms:W3CDTF">2026-10-10T07:37:03Z</dcterms:created>
  <dcterms:modified xsi:type="dcterms:W3CDTF">2026-10-10T07:37:03Z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