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Wellington, New Zealand</w:t>
      </w:r>
    </w:p>
    <w:p>
      <w:pPr>
        <w:pStyle w:val="BodyText"/>
      </w:pPr>
      <w:r>
        <w:t xml:space="preserve">Prepared in accordance with New Zealand commercial and regulatory standards</w:t>
      </w:r>
    </w:p>
    <w:bookmarkEnd w:id="20"/>
    <w:p>
      <w:pPr>
        <w:pStyle w:val="BodyText"/>
      </w:pPr>
      <w:r>
        <w:rPr>
          <w:bCs/>
          <w:b/>
        </w:rPr>
        <w:t xml:space="preserve">Quotation No.:</w:t>
      </w:r>
      <w:r>
        <w:t xml:space="preserve"> </w:t>
      </w:r>
      <w:r>
        <w:t xml:space="preserve">NZ-WLG-MR-2025-0487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NZD (New Zealand Dollar)</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Provider (Service Supplier)</w:t>
            </w:r>
          </w:p>
        </w:tc>
        <w:tc>
          <w:tcPr/>
          <w:p>
            <w:pPr>
              <w:pStyle w:val="Compact"/>
              <w:jc w:val="left"/>
            </w:pPr>
            <w:r>
              <w:t xml:space="preserve">Client (Recipient)</w:t>
            </w:r>
          </w:p>
        </w:tc>
      </w:tr>
      <w:tr>
        <w:tc>
          <w:tcPr/>
          <w:p>
            <w:pPr>
              <w:pStyle w:val="Compact"/>
              <w:jc w:val="left"/>
            </w:pPr>
            <w:r>
              <w:rPr>
                <w:bCs/>
                <w:b/>
              </w:rPr>
              <w:t xml:space="preserve">Entity</w:t>
            </w:r>
          </w:p>
        </w:tc>
        <w:tc>
          <w:tcPr/>
          <w:p>
            <w:pPr>
              <w:pStyle w:val="Compact"/>
              <w:jc w:val="left"/>
            </w:pPr>
            <w:r>
              <w:t xml:space="preserve">Wellington Clinical Research Associates Ltd.</w:t>
            </w:r>
          </w:p>
        </w:tc>
        <w:tc>
          <w:tcPr/>
          <w:p>
            <w:pPr>
              <w:pStyle w:val="Compact"/>
              <w:jc w:val="left"/>
            </w:pPr>
            <w:r>
              <w:t xml:space="preserve">Wellington Regional Health Research Institute</w:t>
            </w:r>
          </w:p>
        </w:tc>
      </w:tr>
      <w:tr>
        <w:tc>
          <w:tcPr/>
          <w:p>
            <w:pPr>
              <w:pStyle w:val="Compact"/>
              <w:jc w:val="left"/>
            </w:pPr>
            <w:r>
              <w:rPr>
                <w:bCs/>
                <w:b/>
              </w:rPr>
              <w:t xml:space="preserve">Address</w:t>
            </w:r>
          </w:p>
        </w:tc>
        <w:tc>
          <w:tcPr/>
          <w:p>
            <w:pPr>
              <w:pStyle w:val="Compact"/>
              <w:jc w:val="left"/>
            </w:pPr>
            <w:r>
              <w:t xml:space="preserve">14 Lambton Quay, Te Aro, Wellington 6011, New Zealand</w:t>
            </w:r>
          </w:p>
        </w:tc>
        <w:tc>
          <w:tcPr/>
          <w:p>
            <w:pPr>
              <w:pStyle w:val="Compact"/>
              <w:jc w:val="left"/>
            </w:pPr>
            <w:r>
              <w:t xml:space="preserve">20-22 Molesworth Street, Thorndon, Wellington 6011, New Zealand</w:t>
            </w:r>
          </w:p>
        </w:tc>
      </w:tr>
      <w:tr>
        <w:tc>
          <w:tcPr/>
          <w:p>
            <w:pPr>
              <w:pStyle w:val="Compact"/>
              <w:jc w:val="left"/>
            </w:pPr>
            <w:r>
              <w:rPr>
                <w:bCs/>
                <w:b/>
              </w:rPr>
              <w:t xml:space="preserve">Contact</w:t>
            </w:r>
          </w:p>
        </w:tc>
        <w:tc>
          <w:tcPr/>
          <w:p>
            <w:pPr>
              <w:pStyle w:val="Compact"/>
              <w:jc w:val="left"/>
            </w:pPr>
            <w:r>
              <w:t xml:space="preserve">Dr. Sarah Mitchell, Principal Investigator</w:t>
            </w:r>
          </w:p>
        </w:tc>
        <w:tc>
          <w:tcPr/>
          <w:p>
            <w:pPr>
              <w:pStyle w:val="Compact"/>
              <w:jc w:val="left"/>
            </w:pPr>
            <w:r>
              <w:t xml:space="preserve">Prof. James Tui, Director of Research</w:t>
            </w:r>
          </w:p>
        </w:tc>
      </w:tr>
      <w:tr>
        <w:tc>
          <w:tcPr/>
          <w:p>
            <w:pPr>
              <w:pStyle w:val="Compact"/>
              <w:jc w:val="left"/>
            </w:pPr>
            <w:r>
              <w:rPr>
                <w:bCs/>
                <w:b/>
              </w:rPr>
              <w:t xml:space="preserve">Phone / Email</w:t>
            </w:r>
          </w:p>
        </w:tc>
        <w:tc>
          <w:tcPr/>
          <w:p>
            <w:pPr>
              <w:pStyle w:val="Compact"/>
              <w:jc w:val="left"/>
            </w:pPr>
            <w:r>
              <w:t xml:space="preserve">+64 4 382 5500 / s.mitchell@wcra.co.nz</w:t>
            </w:r>
          </w:p>
        </w:tc>
        <w:tc>
          <w:tcPr/>
          <w:p>
            <w:pPr>
              <w:pStyle w:val="Compact"/>
              <w:jc w:val="left"/>
            </w:pPr>
            <w:r>
              <w:t xml:space="preserve">+64 4 499 4000 / j.tui@wrih.co.nz</w:t>
            </w:r>
          </w:p>
        </w:tc>
      </w:tr>
      <w:tr>
        <w:tc>
          <w:tcPr/>
          <w:p>
            <w:pPr>
              <w:pStyle w:val="Compact"/>
              <w:jc w:val="left"/>
            </w:pPr>
            <w:r>
              <w:rPr>
                <w:bCs/>
                <w:b/>
              </w:rPr>
              <w:t xml:space="preserve">IRB / NZBNZ No.</w:t>
            </w:r>
          </w:p>
        </w:tc>
        <w:tc>
          <w:tcPr/>
          <w:p>
            <w:pPr>
              <w:pStyle w:val="Compact"/>
              <w:jc w:val="left"/>
            </w:pPr>
            <w:r>
              <w:t xml:space="preserve">NZBNZ 9429041234567</w:t>
            </w:r>
          </w:p>
        </w:tc>
        <w:tc>
          <w:tcPr/>
          <w:p>
            <w:pPr>
              <w:pStyle w:val="Compact"/>
              <w:jc w:val="left"/>
            </w:pPr>
            <w:r>
              <w:t xml:space="preserve">NZBNZ 9429049876543</w:t>
            </w:r>
          </w:p>
        </w:tc>
      </w:tr>
    </w:tbl>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is issued to provide a comprehensive and itemised financial projection for the engagement of a qualified</w:t>
      </w:r>
      <w:r>
        <w:t xml:space="preserve"> </w:t>
      </w:r>
      <w:r>
        <w:t xml:space="preserve">Medical Researcher</w:t>
      </w:r>
      <w:r>
        <w:t xml:space="preserve"> </w:t>
      </w:r>
      <w:r>
        <w:t xml:space="preserve">to conduct a twelve-month longitudinal clinical study on autoimmune disease progression among Māori and Pacific Islander populations in the</w:t>
      </w:r>
      <w:r>
        <w:t xml:space="preserve"> </w:t>
      </w:r>
      <w:r>
        <w:t xml:space="preserve">New Zealand Wellington</w:t>
      </w:r>
      <w:r>
        <w:t xml:space="preserve"> </w:t>
      </w:r>
      <w:r>
        <w:t xml:space="preserve">region. The scope encompasses all personnel costs, laboratory consumables, data management infrastructure, ethical compliance administration, and reporting deliverables as outlined in the attached Statement of Work (Appendix A).</w:t>
      </w:r>
    </w:p>
    <w:p>
      <w:pPr>
        <w:pStyle w:val="BodyText"/>
      </w:pPr>
      <w:r>
        <w:t xml:space="preserve">The</w:t>
      </w:r>
      <w:r>
        <w:t xml:space="preserve"> </w:t>
      </w:r>
      <w:r>
        <w:t xml:space="preserve">Medical Researcher</w:t>
      </w:r>
      <w:r>
        <w:t xml:space="preserve"> </w:t>
      </w:r>
      <w:r>
        <w:t xml:space="preserve">engaged under this Quotation Estimate will hold a minimum of a Master's degree in Clinical Medicine or Biomedical Sciences, with at least five years of post-qualification experience in human-subject research. The researcher will be based at the Wellington Regional Health Research Institute facility and will operate under the supervision of the Principal Investigator, Dr. Sarah Mitchell, in full compliance with the New Zealand Health Research Ethics Committee (HREC) guidelines and the Health Information Privacy Code 1994.</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Subtotal (NZD)</w:t>
            </w:r>
          </w:p>
        </w:tc>
        <w:tc>
          <w:tcPr/>
          <w:p>
            <w:pPr>
              <w:pStyle w:val="Compact"/>
              <w:jc w:val="left"/>
            </w:pPr>
            <w:r>
              <w:t xml:space="preserve">Duration</w:t>
            </w:r>
          </w:p>
        </w:tc>
      </w:tr>
      <w:tr>
        <w:tc>
          <w:tcPr/>
          <w:p>
            <w:pPr>
              <w:pStyle w:val="Compact"/>
              <w:jc w:val="left"/>
            </w:pPr>
            <w:r>
              <w:t xml:space="preserve">3.1</w:t>
            </w:r>
          </w:p>
        </w:tc>
        <w:tc>
          <w:tcPr/>
          <w:p>
            <w:pPr>
              <w:pStyle w:val="Compact"/>
              <w:jc w:val="left"/>
            </w:pPr>
            <w:r>
              <w:t xml:space="preserve">Senior Medical Researcher – full-time engagement (salary, superannuation, and statutory levies per New Zealand employment law)</w:t>
            </w:r>
          </w:p>
        </w:tc>
        <w:tc>
          <w:tcPr/>
          <w:p>
            <w:pPr>
              <w:pStyle w:val="Compact"/>
              <w:jc w:val="left"/>
            </w:pPr>
            <w:r>
              <w:t xml:space="preserve">1 FTE</w:t>
            </w:r>
          </w:p>
        </w:tc>
        <w:tc>
          <w:tcPr/>
          <w:p>
            <w:pPr>
              <w:pStyle w:val="Compact"/>
              <w:jc w:val="left"/>
            </w:pPr>
            <w:r>
              <w:t xml:space="preserve">118,500.00</w:t>
            </w:r>
          </w:p>
        </w:tc>
        <w:tc>
          <w:tcPr/>
          <w:p>
            <w:pPr>
              <w:pStyle w:val="Compact"/>
              <w:jc w:val="left"/>
            </w:pPr>
            <w:r>
              <w:t xml:space="preserve">118,500.00</w:t>
            </w:r>
          </w:p>
        </w:tc>
        <w:tc>
          <w:tcPr/>
          <w:p>
            <w:pPr>
              <w:pStyle w:val="Compact"/>
              <w:jc w:val="left"/>
            </w:pPr>
            <w:r>
              <w:t xml:space="preserve">12 months</w:t>
            </w:r>
          </w:p>
        </w:tc>
      </w:tr>
      <w:tr>
        <w:tc>
          <w:tcPr/>
          <w:p>
            <w:pPr>
              <w:pStyle w:val="Compact"/>
              <w:jc w:val="left"/>
            </w:pPr>
            <w:r>
              <w:t xml:space="preserve">3.2</w:t>
            </w:r>
          </w:p>
        </w:tc>
        <w:tc>
          <w:tcPr/>
          <w:p>
            <w:pPr>
              <w:pStyle w:val="Compact"/>
              <w:jc w:val="left"/>
            </w:pPr>
            <w:r>
              <w:t xml:space="preserve">Research Assistant (part-time, 0.5 FTE) – data collection and sample processing</w:t>
            </w:r>
          </w:p>
        </w:tc>
        <w:tc>
          <w:tcPr/>
          <w:p>
            <w:pPr>
              <w:pStyle w:val="Compact"/>
              <w:jc w:val="left"/>
            </w:pPr>
            <w:r>
              <w:t xml:space="preserve">1 FTE</w:t>
            </w:r>
          </w:p>
        </w:tc>
        <w:tc>
          <w:tcPr/>
          <w:p>
            <w:pPr>
              <w:pStyle w:val="Compact"/>
              <w:jc w:val="left"/>
            </w:pPr>
            <w:r>
              <w:t xml:space="preserve">52,300.00</w:t>
            </w:r>
          </w:p>
        </w:tc>
        <w:tc>
          <w:tcPr/>
          <w:p>
            <w:pPr>
              <w:pStyle w:val="Compact"/>
              <w:jc w:val="left"/>
            </w:pPr>
            <w:r>
              <w:t xml:space="preserve">52,300.00</w:t>
            </w:r>
          </w:p>
        </w:tc>
        <w:tc>
          <w:tcPr/>
          <w:p>
            <w:pPr>
              <w:pStyle w:val="Compact"/>
              <w:jc w:val="left"/>
            </w:pPr>
            <w:r>
              <w:t xml:space="preserve">12 months</w:t>
            </w:r>
          </w:p>
        </w:tc>
      </w:tr>
      <w:tr>
        <w:tc>
          <w:tcPr/>
          <w:p>
            <w:pPr>
              <w:pStyle w:val="Compact"/>
              <w:jc w:val="left"/>
            </w:pPr>
            <w:r>
              <w:t xml:space="preserve">3.3</w:t>
            </w:r>
          </w:p>
        </w:tc>
        <w:tc>
          <w:tcPr/>
          <w:p>
            <w:pPr>
              <w:pStyle w:val="Compact"/>
              <w:jc w:val="left"/>
            </w:pPr>
            <w:r>
              <w:t xml:space="preserve">Laboratory consumables, reagents, and specimen storage (Wellington-based supplier)</w:t>
            </w:r>
          </w:p>
        </w:tc>
        <w:tc>
          <w:tcPr/>
          <w:p>
            <w:pPr>
              <w:pStyle w:val="Compact"/>
              <w:jc w:val="left"/>
            </w:pPr>
            <w:r>
              <w:t xml:space="preserve">1 lot</w:t>
            </w:r>
          </w:p>
        </w:tc>
        <w:tc>
          <w:tcPr/>
          <w:p>
            <w:pPr>
              <w:pStyle w:val="Compact"/>
              <w:jc w:val="left"/>
            </w:pPr>
            <w:r>
              <w:t xml:space="preserve">34,750.00</w:t>
            </w:r>
          </w:p>
        </w:tc>
        <w:tc>
          <w:tcPr/>
          <w:p>
            <w:pPr>
              <w:pStyle w:val="Compact"/>
              <w:jc w:val="left"/>
            </w:pPr>
            <w:r>
              <w:t xml:space="preserve">34,750.00</w:t>
            </w:r>
          </w:p>
        </w:tc>
        <w:tc>
          <w:tcPr/>
          <w:p>
            <w:pPr>
              <w:pStyle w:val="Compact"/>
              <w:jc w:val="left"/>
            </w:pPr>
            <w:r>
              <w:t xml:space="preserve">12 months</w:t>
            </w:r>
          </w:p>
        </w:tc>
      </w:tr>
      <w:tr>
        <w:tc>
          <w:tcPr/>
          <w:p>
            <w:pPr>
              <w:pStyle w:val="Compact"/>
              <w:jc w:val="left"/>
            </w:pPr>
            <w:r>
              <w:t xml:space="preserve">3.4</w:t>
            </w:r>
          </w:p>
        </w:tc>
        <w:tc>
          <w:tcPr/>
          <w:p>
            <w:pPr>
              <w:pStyle w:val="Compact"/>
              <w:jc w:val="left"/>
            </w:pPr>
            <w:r>
              <w:t xml:space="preserve">Biostatistical software licence (SPSS / R Studio) and cloud data storage (NZ-hosted, compliant with Privacy Act 2020)</w:t>
            </w:r>
          </w:p>
        </w:tc>
        <w:tc>
          <w:tcPr/>
          <w:p>
            <w:pPr>
              <w:pStyle w:val="Compact"/>
              <w:jc w:val="left"/>
            </w:pPr>
            <w:r>
              <w:t xml:space="preserve">12 months</w:t>
            </w:r>
          </w:p>
        </w:tc>
        <w:tc>
          <w:tcPr/>
          <w:p>
            <w:pPr>
              <w:pStyle w:val="Compact"/>
              <w:jc w:val="left"/>
            </w:pPr>
            <w:r>
              <w:t xml:space="preserve">8,940.00</w:t>
            </w:r>
          </w:p>
        </w:tc>
        <w:tc>
          <w:tcPr/>
          <w:p>
            <w:pPr>
              <w:pStyle w:val="Compact"/>
              <w:jc w:val="left"/>
            </w:pPr>
            <w:r>
              <w:t xml:space="preserve">8,940.00</w:t>
            </w:r>
          </w:p>
        </w:tc>
        <w:tc>
          <w:tcPr/>
          <w:p>
            <w:pPr>
              <w:pStyle w:val="Compact"/>
              <w:jc w:val="left"/>
            </w:pPr>
            <w:r>
              <w:t xml:space="preserve">12 months</w:t>
            </w:r>
          </w:p>
        </w:tc>
      </w:tr>
      <w:tr>
        <w:tc>
          <w:tcPr/>
          <w:p>
            <w:pPr>
              <w:pStyle w:val="Compact"/>
              <w:jc w:val="left"/>
            </w:pPr>
            <w:r>
              <w:t xml:space="preserve">3.5</w:t>
            </w:r>
          </w:p>
        </w:tc>
        <w:tc>
          <w:tcPr/>
          <w:p>
            <w:pPr>
              <w:pStyle w:val="Compact"/>
              <w:jc w:val="left"/>
            </w:pPr>
            <w:r>
              <w:t xml:space="preserve">Ethics committee fees, participant consent documentation, and HREC compliance administration</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12 months</w:t>
            </w:r>
          </w:p>
        </w:tc>
      </w:tr>
      <w:tr>
        <w:tc>
          <w:tcPr/>
          <w:p>
            <w:pPr>
              <w:pStyle w:val="Compact"/>
              <w:jc w:val="left"/>
            </w:pPr>
            <w:r>
              <w:t xml:space="preserve">3.6</w:t>
            </w:r>
          </w:p>
        </w:tc>
        <w:tc>
          <w:tcPr/>
          <w:p>
            <w:pPr>
              <w:pStyle w:val="Compact"/>
              <w:jc w:val="left"/>
            </w:pPr>
            <w:r>
              <w:t xml:space="preserve">Participant recruitment and community engagement (Māori iwi and Pacific Islander liaison, Wellington region)</w:t>
            </w:r>
          </w:p>
        </w:tc>
        <w:tc>
          <w:tcPr/>
          <w:p>
            <w:pPr>
              <w:pStyle w:val="Compact"/>
              <w:jc w:val="left"/>
            </w:pPr>
            <w:r>
              <w:t xml:space="preserve">1 lot</w:t>
            </w:r>
          </w:p>
        </w:tc>
        <w:tc>
          <w:tcPr/>
          <w:p>
            <w:pPr>
              <w:pStyle w:val="Compact"/>
              <w:jc w:val="left"/>
            </w:pPr>
            <w:r>
              <w:t xml:space="preserve">18,400.00</w:t>
            </w:r>
          </w:p>
        </w:tc>
        <w:tc>
          <w:tcPr/>
          <w:p>
            <w:pPr>
              <w:pStyle w:val="Compact"/>
              <w:jc w:val="left"/>
            </w:pPr>
            <w:r>
              <w:t xml:space="preserve">18,400.00</w:t>
            </w:r>
          </w:p>
        </w:tc>
        <w:tc>
          <w:tcPr/>
          <w:p>
            <w:pPr>
              <w:pStyle w:val="Compact"/>
              <w:jc w:val="left"/>
            </w:pPr>
            <w:r>
              <w:t xml:space="preserve">Months 1–4</w:t>
            </w:r>
          </w:p>
        </w:tc>
      </w:tr>
      <w:tr>
        <w:tc>
          <w:tcPr/>
          <w:p>
            <w:pPr>
              <w:pStyle w:val="Compact"/>
              <w:jc w:val="left"/>
            </w:pPr>
            <w:r>
              <w:t xml:space="preserve">3.7</w:t>
            </w:r>
          </w:p>
        </w:tc>
        <w:tc>
          <w:tcPr/>
          <w:p>
            <w:pPr>
              <w:pStyle w:val="Compact"/>
              <w:jc w:val="left"/>
            </w:pPr>
            <w:r>
              <w:t xml:space="preserve">Interim and final research reports, peer-reviewed manuscript preparation, and conference presentation (Wellington / Auckland)</w:t>
            </w:r>
          </w:p>
        </w:tc>
        <w:tc>
          <w:tcPr/>
          <w:p>
            <w:pPr>
              <w:pStyle w:val="Compact"/>
              <w:jc w:val="left"/>
            </w:pPr>
            <w:r>
              <w:t xml:space="preserve">3 reports</w:t>
            </w:r>
          </w:p>
        </w:tc>
        <w:tc>
          <w:tcPr/>
          <w:p>
            <w:pPr>
              <w:pStyle w:val="Compact"/>
              <w:jc w:val="left"/>
            </w:pPr>
            <w:r>
              <w:t xml:space="preserve">7,800.00</w:t>
            </w:r>
          </w:p>
        </w:tc>
        <w:tc>
          <w:tcPr/>
          <w:p>
            <w:pPr>
              <w:pStyle w:val="Compact"/>
              <w:jc w:val="left"/>
            </w:pPr>
            <w:r>
              <w:t xml:space="preserve">23,400.00</w:t>
            </w:r>
          </w:p>
        </w:tc>
        <w:tc>
          <w:tcPr/>
          <w:p>
            <w:pPr>
              <w:pStyle w:val="Compact"/>
              <w:jc w:val="left"/>
            </w:pPr>
            <w:r>
              <w:t xml:space="preserve">Months 6, 9, 12</w:t>
            </w:r>
          </w:p>
        </w:tc>
      </w:tr>
      <w:tr>
        <w:tc>
          <w:tcPr/>
          <w:p>
            <w:pPr>
              <w:pStyle w:val="Compact"/>
              <w:jc w:val="left"/>
            </w:pPr>
            <w:r>
              <w:t xml:space="preserve">3.8</w:t>
            </w:r>
          </w:p>
        </w:tc>
        <w:tc>
          <w:tcPr/>
          <w:p>
            <w:pPr>
              <w:pStyle w:val="Compact"/>
              <w:jc w:val="left"/>
            </w:pPr>
            <w:r>
              <w:t xml:space="preserve">Project management, quality assurance, and regulatory reporting (Ministry of Health, New Zealand)</w:t>
            </w:r>
          </w:p>
        </w:tc>
        <w:tc>
          <w:tcPr/>
          <w:p>
            <w:pPr>
              <w:pStyle w:val="Compact"/>
              <w:jc w:val="left"/>
            </w:pPr>
            <w:r>
              <w:t xml:space="preserve">12 months</w:t>
            </w:r>
          </w:p>
        </w:tc>
        <w:tc>
          <w:tcPr/>
          <w:p>
            <w:pPr>
              <w:pStyle w:val="Compact"/>
              <w:jc w:val="left"/>
            </w:pPr>
            <w:r>
              <w:t xml:space="preserve">14,600.00</w:t>
            </w:r>
          </w:p>
        </w:tc>
        <w:tc>
          <w:tcPr/>
          <w:p>
            <w:pPr>
              <w:pStyle w:val="Compact"/>
              <w:jc w:val="left"/>
            </w:pPr>
            <w:r>
              <w:t xml:space="preserve">14,600.00</w:t>
            </w:r>
          </w:p>
        </w:tc>
        <w:tc>
          <w:tcPr/>
          <w:p>
            <w:pPr>
              <w:pStyle w:val="Compact"/>
              <w:jc w:val="left"/>
            </w:pPr>
            <w:r>
              <w:t xml:space="preserve">12 months</w:t>
            </w:r>
          </w:p>
        </w:tc>
      </w:tr>
      <w:tr>
        <w:tc>
          <w:tcPr/>
          <w:p>
            <w:pPr>
              <w:pStyle w:val="Compact"/>
              <w:jc w:val="left"/>
            </w:pPr>
            <w:r>
              <w:t xml:space="preserve">3.9</w:t>
            </w:r>
          </w:p>
        </w:tc>
        <w:tc>
          <w:tcPr/>
          <w:p>
            <w:pPr>
              <w:pStyle w:val="Compact"/>
              <w:jc w:val="left"/>
            </w:pPr>
            <w:r>
              <w:t xml:space="preserve">Contingency allowance (8% of items 3.1–3.8) for unforeseen clinical or logistical requirements</w:t>
            </w:r>
          </w:p>
        </w:tc>
        <w:tc>
          <w:tcPr/>
          <w:p>
            <w:pPr>
              <w:pStyle w:val="Compact"/>
              <w:jc w:val="left"/>
            </w:pPr>
            <w:r>
              <w:t xml:space="preserve">1 lot</w:t>
            </w:r>
          </w:p>
        </w:tc>
        <w:tc>
          <w:tcPr/>
          <w:p>
            <w:pPr>
              <w:pStyle w:val="Compact"/>
              <w:jc w:val="left"/>
            </w:pPr>
            <w:r>
              <w:t xml:space="preserve">—</w:t>
            </w:r>
          </w:p>
        </w:tc>
        <w:tc>
          <w:tcPr/>
          <w:p>
            <w:pPr>
              <w:pStyle w:val="Compact"/>
              <w:jc w:val="left"/>
            </w:pPr>
            <w:r>
              <w:t xml:space="preserve">27,312.00</w:t>
            </w:r>
          </w:p>
        </w:tc>
        <w:tc>
          <w:tcPr/>
          <w:p>
            <w:pPr>
              <w:pStyle w:val="Compact"/>
              <w:jc w:val="left"/>
            </w:pPr>
            <w:r>
              <w:t xml:space="preserve">12 months</w:t>
            </w:r>
          </w:p>
        </w:tc>
      </w:tr>
      <w:tr>
        <w:tc>
          <w:tcPr>
            <w:gridSpan w:val="4"/>
          </w:tcPr>
          <w:p>
            <w:pPr>
              <w:pStyle w:val="Compact"/>
              <w:jc w:val="left"/>
            </w:pPr>
            <w:r>
              <w:rPr>
                <w:bCs/>
                <w:b/>
              </w:rPr>
              <w:t xml:space="preserve">GRAND TOTAL (excl. GST)</w:t>
            </w:r>
          </w:p>
        </w:tc>
        <w:tc>
          <w:tcPr/>
          <w:p>
            <w:pPr>
              <w:pStyle w:val="Compact"/>
              <w:jc w:val="left"/>
            </w:pPr>
            <w:r>
              <w:rPr>
                <w:bCs/>
                <w:b/>
              </w:rPr>
              <w:t xml:space="preserve">305,402.00</w:t>
            </w:r>
          </w:p>
        </w:tc>
        <w:tc>
          <w:tcPr/>
          <w:p>
            <w:pPr>
              <w:pStyle w:val="Compact"/>
            </w:pPr>
          </w:p>
        </w:tc>
      </w:tr>
      <w:tr>
        <w:tc>
          <w:tcPr>
            <w:gridSpan w:val="4"/>
          </w:tcPr>
          <w:p>
            <w:pPr>
              <w:pStyle w:val="Compact"/>
              <w:jc w:val="left"/>
            </w:pPr>
            <w:r>
              <w:rPr>
                <w:bCs/>
                <w:b/>
              </w:rPr>
              <w:t xml:space="preserve">GST (15%)</w:t>
            </w:r>
          </w:p>
        </w:tc>
        <w:tc>
          <w:tcPr/>
          <w:p>
            <w:pPr>
              <w:pStyle w:val="Compact"/>
              <w:jc w:val="left"/>
            </w:pPr>
            <w:r>
              <w:rPr>
                <w:bCs/>
                <w:b/>
              </w:rPr>
              <w:t xml:space="preserve">45,810.30</w:t>
            </w:r>
          </w:p>
        </w:tc>
        <w:tc>
          <w:tcPr/>
          <w:p>
            <w:pPr>
              <w:pStyle w:val="Compact"/>
            </w:pPr>
          </w:p>
        </w:tc>
      </w:tr>
      <w:tr>
        <w:tc>
          <w:tcPr>
            <w:gridSpan w:val="4"/>
          </w:tcPr>
          <w:p>
            <w:pPr>
              <w:pStyle w:val="Compact"/>
              <w:jc w:val="left"/>
            </w:pPr>
            <w:r>
              <w:rPr>
                <w:bCs/>
                <w:b/>
              </w:rPr>
              <w:t xml:space="preserve">TOTAL INCLUDING GST</w:t>
            </w:r>
          </w:p>
        </w:tc>
        <w:tc>
          <w:tcPr/>
          <w:p>
            <w:pPr>
              <w:pStyle w:val="Compact"/>
              <w:jc w:val="left"/>
            </w:pPr>
            <w:r>
              <w:rPr>
                <w:bCs/>
                <w:b/>
              </w:rPr>
              <w:t xml:space="preserve">351,212.30</w:t>
            </w:r>
          </w:p>
        </w:tc>
        <w:tc>
          <w:tcPr/>
          <w:p>
            <w:pPr>
              <w:pStyle w:val="Compact"/>
            </w:pPr>
          </w:p>
        </w:tc>
      </w:tr>
    </w:tbl>
    <w:p>
      <w:pPr>
        <w:pStyle w:val="BodyText"/>
      </w:pPr>
      <w:r>
        <w:rPr>
          <w:bCs/>
          <w:b/>
        </w:rPr>
        <w:t xml:space="preserve">Note:</w:t>
      </w:r>
      <w:r>
        <w:t xml:space="preserve"> </w:t>
      </w:r>
      <w:r>
        <w:t xml:space="preserve">All monetary values in this Quotation Estimate are expressed in New Zealand Dollars (NZD) and are inclusive of all applicable New Zealand statutory employer levies (ACC, KiwiSaver employer contribution where applicable, and PAYE). The Medical Researcher's remuneration complies with the New Zealand Public Service Salary Schedule and the Wellington regional cost-of-living adjustment effective 1 July 2025.</w:t>
      </w:r>
    </w:p>
    <w:p>
      <w:pPr>
        <w:pStyle w:val="BodyText"/>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(NZD incl. GST)</w:t>
            </w:r>
          </w:p>
        </w:tc>
      </w:tr>
      <w:tr>
        <w:tc>
          <w:tcPr/>
          <w:p>
            <w:pPr>
              <w:pStyle w:val="Compact"/>
              <w:jc w:val="left"/>
            </w:pPr>
            <w:r>
              <w:t xml:space="preserve">Contract execution and project commencement</w:t>
            </w:r>
          </w:p>
        </w:tc>
        <w:tc>
          <w:tcPr/>
          <w:p>
            <w:pPr>
              <w:pStyle w:val="Compact"/>
              <w:jc w:val="left"/>
            </w:pPr>
            <w:r>
              <w:t xml:space="preserve">1 July 2025</w:t>
            </w:r>
          </w:p>
        </w:tc>
        <w:tc>
          <w:tcPr/>
          <w:p>
            <w:pPr>
              <w:pStyle w:val="Compact"/>
              <w:jc w:val="left"/>
            </w:pPr>
            <w:r>
              <w:t xml:space="preserve">87,803.08 (25%)</w:t>
            </w:r>
          </w:p>
        </w:tc>
      </w:tr>
      <w:tr>
        <w:tc>
          <w:tcPr/>
          <w:p>
            <w:pPr>
              <w:pStyle w:val="Compact"/>
              <w:jc w:val="left"/>
            </w:pPr>
            <w:r>
              <w:t xml:space="preserve">Interim report delivery (Month 6)</w:t>
            </w:r>
          </w:p>
        </w:tc>
        <w:tc>
          <w:tcPr/>
          <w:p>
            <w:pPr>
              <w:pStyle w:val="Compact"/>
              <w:jc w:val="left"/>
            </w:pPr>
            <w:r>
              <w:t xml:space="preserve">1 January 2026</w:t>
            </w:r>
          </w:p>
        </w:tc>
        <w:tc>
          <w:tcPr/>
          <w:p>
            <w:pPr>
              <w:pStyle w:val="Compact"/>
              <w:jc w:val="left"/>
            </w:pPr>
            <w:r>
              <w:t xml:space="preserve">87,803.08 (25%)</w:t>
            </w:r>
          </w:p>
        </w:tc>
      </w:tr>
      <w:tr>
        <w:tc>
          <w:tcPr/>
          <w:p>
            <w:pPr>
              <w:pStyle w:val="Compact"/>
              <w:jc w:val="left"/>
            </w:pPr>
            <w:r>
              <w:t xml:space="preserve">Final report and manuscript submission (Month 12)</w:t>
            </w:r>
          </w:p>
        </w:tc>
        <w:tc>
          <w:tcPr/>
          <w:p>
            <w:pPr>
              <w:pStyle w:val="Compact"/>
              <w:jc w:val="left"/>
            </w:pPr>
            <w:r>
              <w:t xml:space="preserve">1 July 2026</w:t>
            </w:r>
          </w:p>
        </w:tc>
        <w:tc>
          <w:tcPr/>
          <w:p>
            <w:pPr>
              <w:pStyle w:val="Compact"/>
              <w:jc w:val="left"/>
            </w:pPr>
            <w:r>
              <w:t xml:space="preserve">175,606.14 (50%)</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Upon expiry, all rates and availability of the Medical Researcher must be reconfirmed in writing.</w:t>
      </w:r>
    </w:p>
    <w:p>
      <w:pPr>
        <w:numPr>
          <w:ilvl w:val="0"/>
          <w:numId w:val="1001"/>
        </w:numPr>
        <w:pStyle w:val="Compact"/>
      </w:pPr>
      <w:r>
        <w:t xml:space="preserve">All work performed under this engagement will be conducted within the New Zealand Wellington metropolitan area unless prior written approval is obtained for travel to other regions of New Zealand.</w:t>
      </w:r>
    </w:p>
    <w:p>
      <w:pPr>
        <w:numPr>
          <w:ilvl w:val="0"/>
          <w:numId w:val="1001"/>
        </w:numPr>
        <w:pStyle w:val="Compact"/>
      </w:pPr>
      <w:r>
        <w:t xml:space="preserve">The Medical Researcher will be engaged as a contractor of Wellington Clinical Research Associates Ltd. and will not be deemed an employee of the Client. All employment obligations, including KiwiSaver, ACC, and income tax withholding, remain the responsibility of the Provider.</w:t>
      </w:r>
    </w:p>
    <w:p>
      <w:pPr>
        <w:numPr>
          <w:ilvl w:val="0"/>
          <w:numId w:val="1001"/>
        </w:numPr>
        <w:pStyle w:val="Compact"/>
      </w:pPr>
      <w:r>
        <w:t xml:space="preserve">Intellectual property generated during the course of this research project shall be jointly owned by the Provider and the Client, subject to a separate Intellectual Property Agreement to be executed prior to commencement.</w:t>
      </w:r>
    </w:p>
    <w:p>
      <w:pPr>
        <w:numPr>
          <w:ilvl w:val="0"/>
          <w:numId w:val="1001"/>
        </w:numPr>
        <w:pStyle w:val="Compact"/>
      </w:pPr>
      <w:r>
        <w:t xml:space="preserve">Confidentiality obligations under the New Zealand Privacy Act 2020 and the Health Information Privacy Code 1994 apply to all participant data, research findings, and proprietary methodologies. Breach of confidentiality will result in immediate termination and legal action.</w:t>
      </w:r>
    </w:p>
    <w:p>
      <w:pPr>
        <w:numPr>
          <w:ilvl w:val="0"/>
          <w:numId w:val="1001"/>
        </w:numPr>
        <w:pStyle w:val="Compact"/>
      </w:pPr>
      <w:r>
        <w:t xml:space="preserve">Either party may terminate this engagement with thirty (30) days' written notice. In the event of early termination, the Client shall pay for all services rendered and non-cancellable commitments incurred up to the termination date.</w:t>
      </w:r>
    </w:p>
    <w:p>
      <w:pPr>
        <w:numPr>
          <w:ilvl w:val="0"/>
          <w:numId w:val="1001"/>
        </w:numPr>
        <w:pStyle w:val="Compact"/>
      </w:pPr>
      <w:r>
        <w:t xml:space="preserve">Disputes arising from this Quotation Estimate or the resulting contract shall be resolved in accordance with the New Zealand Disputes Resolution Act 2023, with jurisdiction vested in the District Court of Wellington.</w:t>
      </w:r>
    </w:p>
    <w:p>
      <w:pPr>
        <w:numPr>
          <w:ilvl w:val="0"/>
          <w:numId w:val="1001"/>
        </w:numPr>
        <w:pStyle w:val="Compact"/>
      </w:pPr>
      <w:r>
        <w:t xml:space="preserve">This Quotation Estimate does not constitute a binding contract until countersigned by both parties and accompanied by a fully executed Statement of Work and Ethics Approval Certificate from the relevant HREC.</w:t>
      </w:r>
    </w:p>
    <w:p>
      <w:pPr>
        <w:pStyle w:val="FirstParagraph"/>
      </w:pPr>
      <w:r>
        <w:t xml:space="preserve">6. Acceptance and Authorisation</w:t>
      </w:r>
    </w:p>
    <w:p>
      <w:pPr>
        <w:pStyle w:val="BodyText"/>
      </w:pPr>
      <w:r>
        <w:t xml:space="preserve">By signing below, both parties acknowledge that this Quotation Estimate accurately reflects the agreed scope, cost, and terms for the engagement of the Medical Researcher in the New Zealand Wellington region. This document, once executed, forms the financial annexure to the Master Research Services Agreement dated 1 July 2025.</w:t>
      </w:r>
    </w:p>
    <w:p>
      <w:pPr>
        <w:pStyle w:val="BodyText"/>
      </w:pPr>
      <w:r>
        <w:rPr>
          <w:bCs/>
          <w:b/>
        </w:rPr>
        <w:t xml:space="preserve">For and on behalf of the Provider</w:t>
      </w:r>
      <w:r>
        <w:br/>
      </w:r>
      <w:r>
        <w:t xml:space="preserve">Wellington Clinical Research Associates Ltd.</w:t>
      </w:r>
      <w:r>
        <w:br/>
      </w:r>
      <w:r>
        <w:t xml:space="preserve">Name: Dr. Sarah Mitchell</w:t>
      </w:r>
      <w:r>
        <w:br/>
      </w:r>
      <w:r>
        <w:t xml:space="preserve">Title: Principal Investigator / Director</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Wellington Regional Health Research Institute</w:t>
      </w:r>
      <w:r>
        <w:br/>
      </w:r>
      <w:r>
        <w:t xml:space="preserve">Name: Prof. James Tui</w:t>
      </w:r>
      <w:r>
        <w:br/>
      </w:r>
      <w:r>
        <w:t xml:space="preserve">Title: Director of Research</w:t>
      </w:r>
      <w:r>
        <w:br/>
      </w:r>
      <w:r>
        <w:t xml:space="preserve">Signature: _________________________</w:t>
      </w:r>
      <w:r>
        <w:br/>
      </w:r>
      <w:r>
        <w:t xml:space="preserve">Date: _________________________</w:t>
      </w:r>
    </w:p>
    <w:p>
      <w:pPr>
        <w:pStyle w:val="BodyText"/>
      </w:pPr>
      <w:r>
        <w:t xml:space="preserve">Quotation Estimate No. NZ-WLG-MR-2025-0487 | Wellington Clinical Research Associates Ltd. | 14 Lambton Quay, Te Aro, Wellington 6011, New Zealand</w:t>
      </w:r>
    </w:p>
    <w:p>
      <w:pPr>
        <w:pStyle w:val="BodyText"/>
      </w:pPr>
      <w:r>
        <w:t xml:space="preserve">This document was prepared in accordance with New Zealand commercial practice and the requirements of the New Zealand Ministry of Health research funding guidelines. All references to the Medical Researcher role are subject to the qualifications and scope defined in Appendix A (Statement of Work).</w:t>
      </w:r>
    </w:p>
    <w:p>
      <w:pPr>
        <w:pStyle w:val="BodyText"/>
      </w:pPr>
      <w:r>
        <w:t xml:space="preserve">© 2025 Wellington Clinical Research Associates Ltd. All rights reserved. NZBNZ 9429041234567.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New Zealand Wellington</dc:title>
  <dc:creator/>
  <dc:language>en</dc:language>
  <cp:keywords/>
  <dcterms:created xsi:type="dcterms:W3CDTF">2026-10-10T05:55:21Z</dcterms:created>
  <dcterms:modified xsi:type="dcterms:W3CDTF">2026-10-10T05:55:21Z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