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rPr>
          <w:bCs/>
          <w:b/>
        </w:rPr>
        <w:t xml:space="preserve">MedResearch Philippines Inc.</w:t>
      </w:r>
    </w:p>
    <w:p>
      <w:pPr>
        <w:pStyle w:val="BodyText"/>
      </w:pPr>
      <w:r>
        <w:t xml:space="preserve">128 Ayala Avenue, Makati City, Philippines Manila, 1226</w:t>
      </w:r>
    </w:p>
    <w:p>
      <w:pPr>
        <w:pStyle w:val="BodyText"/>
      </w:pPr>
      <w:r>
        <w:t xml:space="preserve">Tel: +63 (2) 8888-4521 | Email: quotations@medresearchph.com</w:t>
      </w:r>
    </w:p>
    <w:p>
      <w:pPr>
        <w:pStyle w:val="BodyText"/>
      </w:pPr>
      <w:r>
        <w:t xml:space="preserve">DTI Registration No. 2019-1234567 | BIR TIN: 000-123-456-000</w:t>
      </w:r>
    </w:p>
    <w:bookmarkEnd w:id="20"/>
    <w:p>
      <w:pPr>
        <w:pStyle w:val="BodyText"/>
      </w:pPr>
      <w:r>
        <w:rPr>
          <w:bCs/>
          <w:b/>
        </w:rPr>
        <w:t xml:space="preserve">Quotation No.:</w:t>
      </w:r>
      <w:r>
        <w:t xml:space="preserve"> </w:t>
      </w:r>
      <w:r>
        <w:t xml:space="preserve">QTE-2025-0784</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For:</w:t>
      </w:r>
      <w:r>
        <w:t xml:space="preserve"> </w:t>
      </w:r>
      <w:r>
        <w:t xml:space="preserve">Dr. Elena M. Santos, MD, PhD</w:t>
      </w:r>
    </w:p>
    <w:p>
      <w:pPr>
        <w:pStyle w:val="BodyText"/>
      </w:pPr>
      <w:r>
        <w:rPr>
          <w:bCs/>
          <w:b/>
        </w:rPr>
        <w:t xml:space="preserve">Organization:</w:t>
      </w:r>
      <w:r>
        <w:t xml:space="preserve"> </w:t>
      </w:r>
      <w:r>
        <w:t xml:space="preserve">University of the Philippines Manila – College of Medicine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MedResearch Philippines Inc. to provide a comprehensive and transparent breakdown of professional services related to the engagement of a</w:t>
      </w:r>
      <w:r>
        <w:t xml:space="preserve"> </w:t>
      </w:r>
      <w:r>
        <w:t xml:space="preserve">Medical Researcher</w:t>
      </w:r>
      <w:r>
        <w:t xml:space="preserve"> </w:t>
      </w:r>
      <w:r>
        <w:t xml:space="preserve">for a twelve-month research project. The project will be conducted within the metropolitan area of</w:t>
      </w:r>
      <w:r>
        <w:t xml:space="preserve"> </w:t>
      </w:r>
      <w:r>
        <w:t xml:space="preserve">Philippines Manila</w:t>
      </w:r>
      <w:r>
        <w:t xml:space="preserve">, specifically utilizing the clinical facilities and laboratory infrastructure available in the NCR region. This document serves as the official pricing proposal and scope-of-work agreement between the contracting institution and our firm.</w:t>
      </w:r>
    </w:p>
    <w:bookmarkEnd w:id="21"/>
    <w:bookmarkStart w:id="22" w:name="Xb1e69cda2657fb3522d5f06f68500be55311324"/>
    <w:p>
      <w:pPr>
        <w:pStyle w:val="Heading2"/>
      </w:pPr>
      <w:r>
        <w:t xml:space="preserve">2. Scope of Services – Medical Researcher Engagement</w:t>
      </w:r>
    </w:p>
    <w:p>
      <w:pPr>
        <w:pStyle w:val="FirstParagraph"/>
      </w:pPr>
      <w:r>
        <w:t xml:space="preserve">The</w:t>
      </w:r>
      <w:r>
        <w:t xml:space="preserve"> </w:t>
      </w:r>
      <w:r>
        <w:t xml:space="preserve">Medical Researcher</w:t>
      </w:r>
      <w:r>
        <w:t xml:space="preserve"> </w:t>
      </w:r>
      <w:r>
        <w:t xml:space="preserve">engaged under this</w:t>
      </w:r>
      <w:r>
        <w:t xml:space="preserve"> </w:t>
      </w:r>
      <w:r>
        <w:t xml:space="preserve">Quotation Estimate</w:t>
      </w:r>
      <w:r>
        <w:t xml:space="preserve"> </w:t>
      </w:r>
      <w:r>
        <w:t xml:space="preserve">will perform the following duties and deliverables throughout the project duration in</w:t>
      </w:r>
      <w:r>
        <w:t xml:space="preserve"> </w:t>
      </w:r>
      <w:r>
        <w:t xml:space="preserve">Philippines Manila</w:t>
      </w:r>
      <w:r>
        <w:t xml:space="preserve">:</w:t>
      </w:r>
    </w:p>
    <w:p>
      <w:pPr>
        <w:numPr>
          <w:ilvl w:val="0"/>
          <w:numId w:val="1001"/>
        </w:numPr>
        <w:pStyle w:val="Compact"/>
      </w:pPr>
      <w:r>
        <w:t xml:space="preserve">Design and implementation of a multi-center clinical study protocol focused on cardiovascular risk factors among urban populations in the Philippines Manila metro area.</w:t>
      </w:r>
    </w:p>
    <w:p>
      <w:pPr>
        <w:numPr>
          <w:ilvl w:val="0"/>
          <w:numId w:val="1001"/>
        </w:numPr>
        <w:pStyle w:val="Compact"/>
      </w:pPr>
      <w:r>
        <w:t xml:space="preserve">Recruitment, screening, and enrollment of a minimum of 500 participants across three (3) partner hospitals located in Quezon City, Makati, and Pasig City.</w:t>
      </w:r>
    </w:p>
    <w:p>
      <w:pPr>
        <w:numPr>
          <w:ilvl w:val="0"/>
          <w:numId w:val="1001"/>
        </w:numPr>
        <w:pStyle w:val="Compact"/>
      </w:pPr>
      <w:r>
        <w:t xml:space="preserve">Collection, processing, and quality assurance of biological specimens (blood, urine, and tissue samples) in accordance with the Department of Health (DOH) Philippines Manila regulatory standards.</w:t>
      </w:r>
    </w:p>
    <w:p>
      <w:pPr>
        <w:numPr>
          <w:ilvl w:val="0"/>
          <w:numId w:val="1001"/>
        </w:numPr>
        <w:pStyle w:val="Compact"/>
      </w:pPr>
      <w:r>
        <w:t xml:space="preserve">Statistical analysis of all gathered data using validated software (SPSS v.28, R, and Stata) and preparation of interim and final research reports.</w:t>
      </w:r>
    </w:p>
    <w:p>
      <w:pPr>
        <w:numPr>
          <w:ilvl w:val="0"/>
          <w:numId w:val="1001"/>
        </w:numPr>
        <w:pStyle w:val="Compact"/>
      </w:pPr>
      <w:r>
        <w:t xml:space="preserve">Authorship and co-authorship of at least two (2) peer-reviewed journal articles for submission to internationally recognized medical journals.</w:t>
      </w:r>
    </w:p>
    <w:p>
      <w:pPr>
        <w:numPr>
          <w:ilvl w:val="0"/>
          <w:numId w:val="1001"/>
        </w:numPr>
        <w:pStyle w:val="Compact"/>
      </w:pPr>
      <w:r>
        <w:t xml:space="preserve">Monthly progress reporting to the principal investigator and the University of the Philippines Manila research ethics board.</w:t>
      </w:r>
    </w:p>
    <w:p>
      <w:pPr>
        <w:numPr>
          <w:ilvl w:val="0"/>
          <w:numId w:val="1001"/>
        </w:numPr>
        <w:pStyle w:val="Compact"/>
      </w:pPr>
      <w:r>
        <w:t xml:space="preserve">Compliance with the Data Privacy Act of 2012 (Republic Act No. 10173) and all applicable ethical guidelines for human subject research in the Philippines.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Duration / Qty</w:t>
            </w:r>
          </w:p>
        </w:tc>
        <w:tc>
          <w:tcPr/>
          <w:p>
            <w:pPr>
              <w:pStyle w:val="Compact"/>
              <w:jc w:val="left"/>
            </w:pPr>
            <w:r>
              <w:t xml:space="preserve">Unit Cost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Medical Researcher – Senior (MD, PhD) – Monthly Professional Fee</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Medical Researcher – Junior (MD, MSc) – Monthly Professional Fee</w:t>
            </w:r>
          </w:p>
        </w:tc>
        <w:tc>
          <w:tcPr/>
          <w:p>
            <w:pPr>
              <w:pStyle w:val="Compact"/>
              <w:jc w:val="left"/>
            </w:pPr>
            <w:r>
              <w:t xml:space="preserve">12 months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3</w:t>
            </w:r>
          </w:p>
        </w:tc>
        <w:tc>
          <w:tcPr/>
          <w:p>
            <w:pPr>
              <w:pStyle w:val="Compact"/>
              <w:jc w:val="left"/>
            </w:pPr>
            <w:r>
              <w:t xml:space="preserve">Research Data Analyst – Monthly Professional Fee</w:t>
            </w:r>
          </w:p>
        </w:tc>
        <w:tc>
          <w:tcPr/>
          <w:p>
            <w:pPr>
              <w:pStyle w:val="Compact"/>
              <w:jc w:val="left"/>
            </w:pPr>
            <w:r>
              <w:t xml:space="preserve">12 months</w:t>
            </w:r>
          </w:p>
        </w:tc>
        <w:tc>
          <w:tcPr/>
          <w:p>
            <w:pPr>
              <w:pStyle w:val="Compact"/>
              <w:jc w:val="left"/>
            </w:pPr>
            <w:r>
              <w:t xml:space="preserve">65,000.00</w:t>
            </w:r>
          </w:p>
        </w:tc>
        <w:tc>
          <w:tcPr/>
          <w:p>
            <w:pPr>
              <w:pStyle w:val="Compact"/>
              <w:jc w:val="left"/>
            </w:pPr>
            <w:r>
              <w:t xml:space="preserve">780,000.00</w:t>
            </w:r>
          </w:p>
        </w:tc>
      </w:tr>
      <w:tr>
        <w:tc>
          <w:tcPr/>
          <w:p>
            <w:pPr>
              <w:pStyle w:val="Compact"/>
              <w:jc w:val="left"/>
            </w:pPr>
            <w:r>
              <w:t xml:space="preserve">4</w:t>
            </w:r>
          </w:p>
        </w:tc>
        <w:tc>
          <w:tcPr/>
          <w:p>
            <w:pPr>
              <w:pStyle w:val="Compact"/>
              <w:jc w:val="left"/>
            </w:pPr>
            <w:r>
              <w:t xml:space="preserve">Laboratory Consumables and Reagents (per participant)</w:t>
            </w:r>
          </w:p>
        </w:tc>
        <w:tc>
          <w:tcPr/>
          <w:p>
            <w:pPr>
              <w:pStyle w:val="Compact"/>
              <w:jc w:val="left"/>
            </w:pPr>
            <w:r>
              <w:t xml:space="preserve">500 pax</w:t>
            </w:r>
          </w:p>
        </w:tc>
        <w:tc>
          <w:tcPr/>
          <w:p>
            <w:pPr>
              <w:pStyle w:val="Compact"/>
              <w:jc w:val="left"/>
            </w:pPr>
            <w:r>
              <w:t xml:space="preserve">3,200.00</w:t>
            </w:r>
          </w:p>
        </w:tc>
        <w:tc>
          <w:tcPr/>
          <w:p>
            <w:pPr>
              <w:pStyle w:val="Compact"/>
              <w:jc w:val="left"/>
            </w:pPr>
            <w:r>
              <w:t xml:space="preserve">1,600,000.00</w:t>
            </w:r>
          </w:p>
        </w:tc>
      </w:tr>
      <w:tr>
        <w:tc>
          <w:tcPr/>
          <w:p>
            <w:pPr>
              <w:pStyle w:val="Compact"/>
              <w:jc w:val="left"/>
            </w:pPr>
            <w:r>
              <w:t xml:space="preserve">5</w:t>
            </w:r>
          </w:p>
        </w:tc>
        <w:tc>
          <w:tcPr/>
          <w:p>
            <w:pPr>
              <w:pStyle w:val="Compact"/>
              <w:jc w:val="left"/>
            </w:pPr>
            <w:r>
              <w:t xml:space="preserve">Participant Compensation and Transport Allowance (Philippines Manila area)</w:t>
            </w:r>
          </w:p>
        </w:tc>
        <w:tc>
          <w:tcPr/>
          <w:p>
            <w:pPr>
              <w:pStyle w:val="Compact"/>
              <w:jc w:val="left"/>
            </w:pPr>
            <w:r>
              <w:t xml:space="preserve">500 pax</w:t>
            </w:r>
          </w:p>
        </w:tc>
        <w:tc>
          <w:tcPr/>
          <w:p>
            <w:pPr>
              <w:pStyle w:val="Compact"/>
              <w:jc w:val="left"/>
            </w:pPr>
            <w:r>
              <w:t xml:space="preserve">1,500.00</w:t>
            </w:r>
          </w:p>
        </w:tc>
        <w:tc>
          <w:tcPr/>
          <w:p>
            <w:pPr>
              <w:pStyle w:val="Compact"/>
              <w:jc w:val="left"/>
            </w:pPr>
            <w:r>
              <w:t xml:space="preserve">750,000.00</w:t>
            </w:r>
          </w:p>
        </w:tc>
      </w:tr>
      <w:tr>
        <w:tc>
          <w:tcPr/>
          <w:p>
            <w:pPr>
              <w:pStyle w:val="Compact"/>
              <w:jc w:val="left"/>
            </w:pPr>
            <w:r>
              <w:t xml:space="preserve">6</w:t>
            </w:r>
          </w:p>
        </w:tc>
        <w:tc>
          <w:tcPr/>
          <w:p>
            <w:pPr>
              <w:pStyle w:val="Compact"/>
              <w:jc w:val="left"/>
            </w:pPr>
            <w:r>
              <w:t xml:space="preserve">Ethics Board Filing and IRB Review Fees (UP Manila)</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DOH Philippines Manila Research Permit and Regulatory Compliance</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8</w:t>
            </w:r>
          </w:p>
        </w:tc>
        <w:tc>
          <w:tcPr/>
          <w:p>
            <w:pPr>
              <w:pStyle w:val="Compact"/>
              <w:jc w:val="left"/>
            </w:pPr>
            <w:r>
              <w:t xml:space="preserve">Statistical Software Licenses and Cloud Data Storage (12 months)</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9</w:t>
            </w:r>
          </w:p>
        </w:tc>
        <w:tc>
          <w:tcPr/>
          <w:p>
            <w:pPr>
              <w:pStyle w:val="Compact"/>
              <w:jc w:val="left"/>
            </w:pPr>
            <w:r>
              <w:t xml:space="preserve">Publication Fees and Open-Access Charges (2 articles)</w:t>
            </w:r>
          </w:p>
        </w:tc>
        <w:tc>
          <w:tcPr/>
          <w:p>
            <w:pPr>
              <w:pStyle w:val="Compact"/>
              <w:jc w:val="left"/>
            </w:pPr>
            <w:r>
              <w:t xml:space="preserve">2 articles</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10</w:t>
            </w:r>
          </w:p>
        </w:tc>
        <w:tc>
          <w:tcPr/>
          <w:p>
            <w:pPr>
              <w:pStyle w:val="Compact"/>
              <w:jc w:val="left"/>
            </w:pPr>
            <w:r>
              <w:t xml:space="preserve">Project Management, Coordination, and Administrative Overhead</w:t>
            </w:r>
          </w:p>
        </w:tc>
        <w:tc>
          <w:tcPr/>
          <w:p>
            <w:pPr>
              <w:pStyle w:val="Compact"/>
              <w:jc w:val="left"/>
            </w:pPr>
            <w:r>
              <w:t xml:space="preserve">12 months</w:t>
            </w:r>
          </w:p>
        </w:tc>
        <w:tc>
          <w:tcPr/>
          <w:p>
            <w:pPr>
              <w:pStyle w:val="Compact"/>
              <w:jc w:val="left"/>
            </w:pPr>
            <w:r>
              <w:t xml:space="preserve">110,000.00</w:t>
            </w:r>
          </w:p>
        </w:tc>
        <w:tc>
          <w:tcPr/>
          <w:p>
            <w:pPr>
              <w:pStyle w:val="Compact"/>
              <w:jc w:val="left"/>
            </w:pPr>
            <w:r>
              <w:t xml:space="preserve">1,320,000.00</w:t>
            </w:r>
          </w:p>
        </w:tc>
      </w:tr>
      <w:tr>
        <w:tc>
          <w:tcPr/>
          <w:p>
            <w:pPr>
              <w:pStyle w:val="Compact"/>
              <w:jc w:val="left"/>
            </w:pPr>
            <w:r>
              <w:t xml:space="preserve">11</w:t>
            </w:r>
          </w:p>
        </w:tc>
        <w:tc>
          <w:tcPr/>
          <w:p>
            <w:pPr>
              <w:pStyle w:val="Compact"/>
              <w:jc w:val="left"/>
            </w:pPr>
            <w:r>
              <w:t xml:space="preserve">Travel and Logistics within Philippines Manila (3 partner sites)</w:t>
            </w:r>
          </w:p>
        </w:tc>
        <w:tc>
          <w:tcPr/>
          <w:p>
            <w:pPr>
              <w:pStyle w:val="Compact"/>
              <w:jc w:val="left"/>
            </w:pPr>
            <w:r>
              <w:t xml:space="preserve">12 months</w:t>
            </w:r>
          </w:p>
        </w:tc>
        <w:tc>
          <w:tcPr/>
          <w:p>
            <w:pPr>
              <w:pStyle w:val="Compact"/>
              <w:jc w:val="left"/>
            </w:pPr>
            <w:r>
              <w:t xml:space="preserve">40,000.00</w:t>
            </w:r>
          </w:p>
        </w:tc>
        <w:tc>
          <w:tcPr/>
          <w:p>
            <w:pPr>
              <w:pStyle w:val="Compact"/>
              <w:jc w:val="left"/>
            </w:pPr>
            <w:r>
              <w:t xml:space="preserve">480,000.00</w:t>
            </w:r>
          </w:p>
        </w:tc>
      </w:tr>
      <w:tr>
        <w:tc>
          <w:tcPr/>
          <w:p>
            <w:pPr>
              <w:pStyle w:val="Compact"/>
              <w:jc w:val="left"/>
            </w:pPr>
            <w:r>
              <w:t xml:space="preserve">12</w:t>
            </w:r>
          </w:p>
        </w:tc>
        <w:tc>
          <w:tcPr/>
          <w:p>
            <w:pPr>
              <w:pStyle w:val="Compact"/>
              <w:jc w:val="left"/>
            </w:pPr>
            <w:r>
              <w:t xml:space="preserve">Contingency and Unforeseen Research Expenses (5%)</w:t>
            </w:r>
          </w:p>
        </w:tc>
        <w:tc>
          <w:tcPr/>
          <w:p>
            <w:pPr>
              <w:pStyle w:val="Compact"/>
              <w:jc w:val="left"/>
            </w:pPr>
            <w:r>
              <w:t xml:space="preserve">1 lot</w:t>
            </w:r>
          </w:p>
        </w:tc>
        <w:tc>
          <w:tcPr/>
          <w:p>
            <w:pPr>
              <w:pStyle w:val="Compact"/>
              <w:jc w:val="left"/>
            </w:pPr>
            <w:r>
              <w:t xml:space="preserve">—</w:t>
            </w:r>
          </w:p>
        </w:tc>
        <w:tc>
          <w:tcPr/>
          <w:p>
            <w:pPr>
              <w:pStyle w:val="Compact"/>
              <w:jc w:val="left"/>
            </w:pPr>
            <w:r>
              <w:t xml:space="preserve">328,000.00</w:t>
            </w:r>
          </w:p>
        </w:tc>
      </w:tr>
      <w:tr>
        <w:tc>
          <w:tcPr>
            <w:gridSpan w:val="4"/>
          </w:tcPr>
          <w:p>
            <w:pPr>
              <w:pStyle w:val="Compact"/>
              <w:jc w:val="right"/>
            </w:pPr>
            <w:r>
              <w:t xml:space="preserve">TOTAL ESTIMATED COST (PHP)</w:t>
            </w:r>
          </w:p>
        </w:tc>
        <w:tc>
          <w:tcPr/>
          <w:p>
            <w:pPr>
              <w:pStyle w:val="Compact"/>
              <w:jc w:val="left"/>
            </w:pPr>
            <w:r>
              <w:t xml:space="preserve">10,038,000.00</w:t>
            </w:r>
          </w:p>
        </w:tc>
      </w:tr>
      <w:tr>
        <w:tc>
          <w:tcPr>
            <w:gridSpan w:val="4"/>
          </w:tcPr>
          <w:p>
            <w:pPr>
              <w:pStyle w:val="Compact"/>
              <w:jc w:val="right"/>
            </w:pPr>
            <w:r>
              <w:t xml:space="preserve">VAT (12%)</w:t>
            </w:r>
          </w:p>
        </w:tc>
        <w:tc>
          <w:tcPr/>
          <w:p>
            <w:pPr>
              <w:pStyle w:val="Compact"/>
              <w:jc w:val="left"/>
            </w:pPr>
            <w:r>
              <w:t xml:space="preserve">1,204,560.00</w:t>
            </w:r>
          </w:p>
        </w:tc>
      </w:tr>
      <w:tr>
        <w:tc>
          <w:tcPr>
            <w:gridSpan w:val="4"/>
          </w:tcPr>
          <w:p>
            <w:pPr>
              <w:pStyle w:val="Compact"/>
              <w:jc w:val="right"/>
            </w:pPr>
            <w:r>
              <w:t xml:space="preserve">GRAND TOTAL (PHP)</w:t>
            </w:r>
          </w:p>
        </w:tc>
        <w:tc>
          <w:tcPr/>
          <w:p>
            <w:pPr>
              <w:pStyle w:val="Compact"/>
              <w:jc w:val="left"/>
            </w:pPr>
            <w:r>
              <w:t xml:space="preserve">11,242,560.00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schedule, subject to the terms agreed upon by both parties in</w:t>
      </w:r>
      <w:r>
        <w:t xml:space="preserve"> </w:t>
      </w:r>
      <w:r>
        <w:t xml:space="preserve">Philippines Manila</w:t>
      </w:r>
      <w:r>
        <w:t xml:space="preserve">:</w:t>
      </w:r>
    </w:p>
    <w:p>
      <w:pPr>
        <w:numPr>
          <w:ilvl w:val="0"/>
          <w:numId w:val="1002"/>
        </w:numPr>
        <w:pStyle w:val="Compact"/>
      </w:pPr>
      <w:r>
        <w:rPr>
          <w:bCs/>
          <w:b/>
        </w:rPr>
        <w:t xml:space="preserve">30% Down Payment</w:t>
      </w:r>
      <w:r>
        <w:t xml:space="preserve"> </w:t>
      </w:r>
      <w:r>
        <w:t xml:space="preserve">(PHP 3,372,768.00) – Due upon signing of the contract and issuance of the Purchase Order.</w:t>
      </w:r>
    </w:p>
    <w:p>
      <w:pPr>
        <w:numPr>
          <w:ilvl w:val="0"/>
          <w:numId w:val="1002"/>
        </w:numPr>
        <w:pStyle w:val="Compact"/>
      </w:pPr>
      <w:r>
        <w:rPr>
          <w:bCs/>
          <w:b/>
        </w:rPr>
        <w:t xml:space="preserve">40% Progress Payment</w:t>
      </w:r>
      <w:r>
        <w:t xml:space="preserve"> </w:t>
      </w:r>
      <w:r>
        <w:t xml:space="preserve">(PHP 4,497,024.00) – Due at the six-month milestone upon submission of the interim research report and confirmation of 250 enrolled participants.</w:t>
      </w:r>
    </w:p>
    <w:p>
      <w:pPr>
        <w:numPr>
          <w:ilvl w:val="0"/>
          <w:numId w:val="1002"/>
        </w:numPr>
        <w:pStyle w:val="Compact"/>
      </w:pPr>
      <w:r>
        <w:rPr>
          <w:bCs/>
          <w:b/>
        </w:rPr>
        <w:t xml:space="preserve">30% Final Payment</w:t>
      </w:r>
      <w:r>
        <w:t xml:space="preserve"> </w:t>
      </w:r>
      <w:r>
        <w:t xml:space="preserve">(PHP 3,372,768.00) – Due upon delivery of the final research report, publication acceptance letters, and completion of all regulatory filings.</w:t>
      </w:r>
    </w:p>
    <w:p>
      <w:pPr>
        <w:pStyle w:val="FirstParagraph"/>
      </w:pPr>
      <w:r>
        <w:t xml:space="preserve">All payments shall be made via bank transfer to the designated account of MedResearch Philippines Inc. at BDO Unibank, Makati Branch, Philippines Manila. Invoices will be issued in accordance with the Bureau of Internal Revenue (BIR) Philippines Manila requirements.</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issuance. Beyond this period, pricing may be subject to revision due to changes in market rates, regulatory fees, or exchange rates applicable in the Philippines Manila area.</w:t>
      </w:r>
    </w:p>
    <w:p>
      <w:pPr>
        <w:numPr>
          <w:ilvl w:val="0"/>
          <w:numId w:val="1003"/>
        </w:numPr>
        <w:pStyle w:val="Compact"/>
      </w:pPr>
      <w:r>
        <w:t xml:space="preserve">The</w:t>
      </w:r>
      <w:r>
        <w:t xml:space="preserve"> </w:t>
      </w:r>
      <w:r>
        <w:t xml:space="preserve">Medical Researcher</w:t>
      </w:r>
      <w:r>
        <w:t xml:space="preserve"> </w:t>
      </w:r>
      <w:r>
        <w:t xml:space="preserve">and all supporting personnel shall be bound by a strict Non-Disclosure Agreement (NDA) and a Conflict of Interest declaration as required by the University of the Philippines Manila research policy.</w:t>
      </w:r>
    </w:p>
    <w:p>
      <w:pPr>
        <w:numPr>
          <w:ilvl w:val="0"/>
          <w:numId w:val="1003"/>
        </w:numPr>
        <w:pStyle w:val="Compact"/>
      </w:pPr>
      <w:r>
        <w:t xml:space="preserve">All research data collected in</w:t>
      </w:r>
      <w:r>
        <w:t xml:space="preserve"> </w:t>
      </w:r>
      <w:r>
        <w:t xml:space="preserve">Philippines Manila</w:t>
      </w:r>
      <w:r>
        <w:t xml:space="preserve"> </w:t>
      </w:r>
      <w:r>
        <w:t xml:space="preserve">shall be stored on encrypted servers located within the Philippines to comply with the Data Privacy Act of 2012.</w:t>
      </w:r>
    </w:p>
    <w:p>
      <w:pPr>
        <w:numPr>
          <w:ilvl w:val="0"/>
          <w:numId w:val="1003"/>
        </w:numPr>
        <w:pStyle w:val="Compact"/>
      </w:pPr>
      <w:r>
        <w:t xml:space="preserve">Any changes to the scope of work, number of participants, or research sites must be documented in a written amendment to this</w:t>
      </w:r>
      <w:r>
        <w:t xml:space="preserve"> </w:t>
      </w:r>
      <w:r>
        <w:t xml:space="preserve">Quotation Estimate</w:t>
      </w:r>
      <w:r>
        <w:t xml:space="preserve"> </w:t>
      </w:r>
      <w:r>
        <w:t xml:space="preserve">and signed by both parties before implementation.</w:t>
      </w:r>
    </w:p>
    <w:p>
      <w:pPr>
        <w:numPr>
          <w:ilvl w:val="0"/>
          <w:numId w:val="1003"/>
        </w:numPr>
        <w:pStyle w:val="Compact"/>
      </w:pPr>
      <w:r>
        <w:t xml:space="preserve">MedResearch Philippines Inc. shall provide a Certificate of Completion and a final audit report upon project closure.</w:t>
      </w:r>
    </w:p>
    <w:p>
      <w:pPr>
        <w:numPr>
          <w:ilvl w:val="0"/>
          <w:numId w:val="1003"/>
        </w:numPr>
        <w:pStyle w:val="Compact"/>
      </w:pPr>
      <w:r>
        <w:t xml:space="preserve">Disputes arising from this agreement shall be resolved through mediation in accordance with the rules of the Philippine Dispute Resolution Center, with venue set in the city of Manila, Philippines.</w:t>
      </w:r>
    </w:p>
    <w:bookmarkEnd w:id="25"/>
    <w:bookmarkStart w:id="28" w:name="acceptance-and-authorization"/>
    <w:p>
      <w:pPr>
        <w:pStyle w:val="Heading2"/>
      </w:pPr>
      <w:r>
        <w:t xml:space="preserve">6. Acceptance and Authorization</w:t>
      </w:r>
    </w:p>
    <w:p>
      <w:pPr>
        <w:pStyle w:val="FirstParagraph"/>
      </w:pPr>
      <w:r>
        <w:t xml:space="preserve">By signing below, both parties acknowledge and accept the terms, conditions, and pricing set forth in this</w:t>
      </w:r>
      <w:r>
        <w:t xml:space="preserve"> </w:t>
      </w:r>
      <w:r>
        <w:t xml:space="preserve">Quotation Estimate</w:t>
      </w:r>
      <w:r>
        <w:t xml:space="preserve"> </w:t>
      </w:r>
      <w:r>
        <w:t xml:space="preserve">for the engagement of a</w:t>
      </w:r>
      <w:r>
        <w:t xml:space="preserve"> </w:t>
      </w:r>
      <w:r>
        <w:t xml:space="preserve">Medical Researcher</w:t>
      </w:r>
      <w:r>
        <w:t xml:space="preserve"> </w:t>
      </w:r>
      <w:r>
        <w:t xml:space="preserve">and associated services to be performed in</w:t>
      </w:r>
      <w:r>
        <w:t xml:space="preserve"> </w:t>
      </w:r>
      <w:r>
        <w:t xml:space="preserve">Philippines Manila</w:t>
      </w:r>
      <w:r>
        <w:t xml:space="preserve">.</w:t>
      </w:r>
    </w:p>
    <w:bookmarkStart w:id="26" w:name="prepared-and-issued-by"/>
    <w:p>
      <w:pPr>
        <w:pStyle w:val="Heading3"/>
      </w:pPr>
      <w:r>
        <w:t xml:space="preserve">Prepared and Issued By:</w:t>
      </w:r>
    </w:p>
    <w:p>
      <w:pPr>
        <w:pStyle w:val="FirstParagraph"/>
      </w:pPr>
      <w:r>
        <w:t xml:space="preserve">MedResearch Philippines Inc.</w:t>
      </w:r>
    </w:p>
    <w:p>
      <w:pPr>
        <w:pStyle w:val="BodyText"/>
      </w:pPr>
      <w:r>
        <w:t xml:space="preserve">Name:</w:t>
      </w:r>
      <w:r>
        <w:t xml:space="preserve"> </w:t>
      </w:r>
      <w:r>
        <w:rPr>
          <w:bCs/>
          <w:b/>
        </w:rPr>
        <w:t xml:space="preserve">Dr. Ricardo T. Villanueva, MD, MBA</w:t>
      </w:r>
    </w:p>
    <w:p>
      <w:pPr>
        <w:pStyle w:val="BodyText"/>
      </w:pPr>
      <w:r>
        <w:t xml:space="preserve">Title: Chief Executive Officer</w:t>
      </w:r>
    </w:p>
    <w:p>
      <w:pPr>
        <w:pStyle w:val="BodyText"/>
      </w:pPr>
      <w:r>
        <w:t xml:space="preserve">Signature / Date</w:t>
      </w:r>
    </w:p>
    <w:bookmarkEnd w:id="26"/>
    <w:bookmarkStart w:id="27" w:name="reviewed-and-accepted-by"/>
    <w:p>
      <w:pPr>
        <w:pStyle w:val="Heading3"/>
      </w:pPr>
      <w:r>
        <w:t xml:space="preserve">Reviewed and Accepted By:</w:t>
      </w:r>
    </w:p>
    <w:p>
      <w:pPr>
        <w:pStyle w:val="FirstParagraph"/>
      </w:pPr>
      <w:r>
        <w:t xml:space="preserve">University of the Philippines Manila</w:t>
      </w:r>
    </w:p>
    <w:p>
      <w:pPr>
        <w:pStyle w:val="BodyText"/>
      </w:pPr>
      <w:r>
        <w:t xml:space="preserve">Name:</w:t>
      </w:r>
      <w:r>
        <w:t xml:space="preserve"> </w:t>
      </w:r>
      <w:r>
        <w:rPr>
          <w:bCs/>
          <w:b/>
        </w:rPr>
        <w:t xml:space="preserve">Dr. Elena M. Santos, MD, PhD</w:t>
      </w:r>
    </w:p>
    <w:p>
      <w:pPr>
        <w:pStyle w:val="BodyText"/>
      </w:pPr>
      <w:r>
        <w:t xml:space="preserve">Title: Principal Investigator / Department Chair</w:t>
      </w:r>
    </w:p>
    <w:p>
      <w:pPr>
        <w:pStyle w:val="BodyText"/>
      </w:pPr>
      <w:r>
        <w:t xml:space="preserve">Signature / Date</w:t>
      </w:r>
    </w:p>
    <w:bookmarkEnd w:id="27"/>
    <w:p>
      <w:pPr>
        <w:pStyle w:val="BodyText"/>
      </w:pPr>
      <w:r>
        <w:t xml:space="preserve">This Quotation Estimate document was prepared by MedResearch Philippines Inc., Philippines Manila. For inquiries, please contact our office at +63 (2) 8888-4521 or quotations@medresearchph.com. This document is confidential and intended solely for the named recipient.</w:t>
      </w:r>
    </w:p>
    <w:p>
      <w:pPr>
        <w:pStyle w:val="BodyText"/>
      </w:pPr>
      <w:r>
        <w:t xml:space="preserve">Page 1 of 1 | QTE-2025-0784 | June 15,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Philippines Manila</dc:title>
  <dc:creator/>
  <dc:language>en</dc:language>
  <cp:keywords/>
  <dcterms:created xsi:type="dcterms:W3CDTF">2026-10-10T04:13:29Z</dcterms:created>
  <dcterms:modified xsi:type="dcterms:W3CDTF">2026-10-10T04:13:29Z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