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Clients in Qatar Doha</w:t>
      </w:r>
    </w:p>
    <w:p>
      <w:pPr>
        <w:pStyle w:val="BodyText"/>
      </w:pPr>
      <w:r>
        <w:t xml:space="preserve">Ref: QE-MR-QD-2025-0047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Al-Mansouri, Lead Consultant</w:t>
      </w:r>
    </w:p>
    <w:p>
      <w:pPr>
        <w:pStyle w:val="BodyText"/>
      </w:pPr>
      <w:r>
        <w:rPr>
          <w:bCs/>
          <w:b/>
        </w:rPr>
        <w:t xml:space="preserve">Location:</w:t>
      </w:r>
      <w:r>
        <w:t xml:space="preserve"> </w:t>
      </w:r>
      <w:r>
        <w:t xml:space="preserve">Doha, Qatar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Hamad Medical Corporation – Research Division</w:t>
            </w:r>
          </w:p>
        </w:tc>
      </w:tr>
      <w:tr>
        <w:tc>
          <w:tcPr/>
          <w:p>
            <w:pPr>
              <w:pStyle w:val="Compact"/>
              <w:jc w:val="left"/>
            </w:pPr>
            <w:r>
              <w:rPr>
                <w:bCs/>
                <w:b/>
              </w:rPr>
              <w:t xml:space="preserve">Address:</w:t>
            </w:r>
          </w:p>
        </w:tc>
        <w:tc>
          <w:tcPr/>
          <w:p>
            <w:pPr>
              <w:pStyle w:val="Compact"/>
              <w:jc w:val="left"/>
            </w:pPr>
            <w:r>
              <w:t xml:space="preserve">P.O. Box 1723, Doha, Qatar</w:t>
            </w:r>
          </w:p>
        </w:tc>
      </w:tr>
      <w:tr>
        <w:tc>
          <w:tcPr/>
          <w:p>
            <w:pPr>
              <w:pStyle w:val="Compact"/>
              <w:jc w:val="left"/>
            </w:pPr>
            <w:r>
              <w:rPr>
                <w:bCs/>
                <w:b/>
              </w:rPr>
              <w:t xml:space="preserve">Contact Person:</w:t>
            </w:r>
          </w:p>
        </w:tc>
        <w:tc>
          <w:tcPr/>
          <w:p>
            <w:pPr>
              <w:pStyle w:val="Compact"/>
              <w:jc w:val="left"/>
            </w:pPr>
            <w:r>
              <w:t xml:space="preserve">Dr. Khalid Al-Thani, Director of Clinical Research</w:t>
            </w:r>
          </w:p>
        </w:tc>
      </w:tr>
      <w:tr>
        <w:tc>
          <w:tcPr/>
          <w:p>
            <w:pPr>
              <w:pStyle w:val="Compact"/>
              <w:jc w:val="left"/>
            </w:pPr>
            <w:r>
              <w:rPr>
                <w:bCs/>
                <w:b/>
              </w:rPr>
              <w:t xml:space="preserve">Email:</w:t>
            </w:r>
          </w:p>
        </w:tc>
        <w:tc>
          <w:tcPr/>
          <w:p>
            <w:pPr>
              <w:pStyle w:val="Compact"/>
              <w:jc w:val="left"/>
            </w:pPr>
            <w:r>
              <w:t xml:space="preserve">research.division@hmc.qa</w:t>
            </w:r>
          </w:p>
        </w:tc>
      </w:tr>
      <w:tr>
        <w:tc>
          <w:tcPr/>
          <w:p>
            <w:pPr>
              <w:pStyle w:val="Compact"/>
              <w:jc w:val="left"/>
            </w:pPr>
            <w:r>
              <w:rPr>
                <w:bCs/>
                <w:b/>
              </w:rPr>
              <w:t xml:space="preserve">Phone:</w:t>
            </w:r>
          </w:p>
        </w:tc>
        <w:tc>
          <w:tcPr/>
          <w:p>
            <w:pPr>
              <w:pStyle w:val="Compact"/>
              <w:jc w:val="left"/>
            </w:pPr>
            <w:r>
              <w:t xml:space="preserve">+974 4412 3456</w:t>
            </w:r>
          </w:p>
        </w:tc>
      </w:tr>
    </w:tbl>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Medical Researcher</w:t>
      </w:r>
      <w:r>
        <w:t xml:space="preserve"> </w:t>
      </w:r>
      <w:r>
        <w:t xml:space="preserve">engaged to support clinical and translational research initiatives within the</w:t>
      </w:r>
      <w:r>
        <w:t xml:space="preserve"> </w:t>
      </w:r>
      <w:r>
        <w:t xml:space="preserve">Qatar Doha</w:t>
      </w:r>
      <w:r>
        <w:t xml:space="preserve"> </w:t>
      </w:r>
      <w:r>
        <w:t xml:space="preserve">healthcare ecosystem. The scope encompasses the following deliverables over a twelve-month contract period:</w:t>
      </w:r>
    </w:p>
    <w:p>
      <w:pPr>
        <w:numPr>
          <w:ilvl w:val="0"/>
          <w:numId w:val="1001"/>
        </w:numPr>
        <w:pStyle w:val="Compact"/>
      </w:pPr>
      <w:r>
        <w:t xml:space="preserve">Design and execution of a multi-centre clinical study protocol focused on metabolic syndrome prevalence among the expatriate population in Qatar Doha, including IRB submission and ethical clearance coordination with the Qatar Biomedical Research Institute.</w:t>
      </w:r>
    </w:p>
    <w:p>
      <w:pPr>
        <w:numPr>
          <w:ilvl w:val="0"/>
          <w:numId w:val="1001"/>
        </w:numPr>
        <w:pStyle w:val="Compact"/>
      </w:pPr>
      <w:r>
        <w:t xml:space="preserve">Recruitment, screening, and longitudinal follow-up of a minimum of 850 participants across three primary healthcare facilities in the Doha metropolitan area.</w:t>
      </w:r>
    </w:p>
    <w:p>
      <w:pPr>
        <w:numPr>
          <w:ilvl w:val="0"/>
          <w:numId w:val="1001"/>
        </w:numPr>
        <w:pStyle w:val="Compact"/>
      </w:pPr>
      <w:r>
        <w:t xml:space="preserve">Collection, validation, and statistical analysis of biomarker data (serum glucose, lipid profiles, HbA1c, inflammatory markers) using validated laboratory assays.</w:t>
      </w:r>
    </w:p>
    <w:p>
      <w:pPr>
        <w:numPr>
          <w:ilvl w:val="0"/>
          <w:numId w:val="1001"/>
        </w:numPr>
        <w:pStyle w:val="Compact"/>
      </w:pPr>
      <w:r>
        <w:t xml:space="preserve">Preparation of a peer-reviewed manuscript for submission to an indexed international journal, with full data transparency and adherence to STROBE reporting guidelines.</w:t>
      </w:r>
    </w:p>
    <w:p>
      <w:pPr>
        <w:numPr>
          <w:ilvl w:val="0"/>
          <w:numId w:val="1001"/>
        </w:numPr>
        <w:pStyle w:val="Compact"/>
      </w:pPr>
      <w:r>
        <w:t xml:space="preserve">Delivery of two interim progress reports (at Month 6 and Month 12) and one final comprehensive research report in both English and Arabic.</w:t>
      </w:r>
    </w:p>
    <w:p>
      <w:pPr>
        <w:numPr>
          <w:ilvl w:val="0"/>
          <w:numId w:val="1001"/>
        </w:numPr>
        <w:pStyle w:val="Compact"/>
      </w:pPr>
      <w:r>
        <w:t xml:space="preserve">Participation in at least three national or regional medical conferences held in Qatar Doha to present preliminary and final findings.</w:t>
      </w:r>
    </w:p>
    <w:p>
      <w:pPr>
        <w:numPr>
          <w:ilvl w:val="0"/>
          <w:numId w:val="1001"/>
        </w:numPr>
        <w:pStyle w:val="Compact"/>
      </w:pPr>
      <w:r>
        <w:t xml:space="preserve">Mentorship of two junior research assistants from local universities (Qatar University or Weill Cornell Medicine – Qatar) as part of capacity-building objectives.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Medical Researcher – Senior Consultant (PhD, MD) – Monthly Professional Fee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Medical Researcher – Junior Associate (MSc, PhD Candidate) – Monthly Fee</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Laboratory Assays and Biomarker Testing (850 participants × 6 panels)</w:t>
            </w:r>
          </w:p>
        </w:tc>
        <w:tc>
          <w:tcPr/>
          <w:p>
            <w:pPr>
              <w:pStyle w:val="Compact"/>
              <w:jc w:val="left"/>
            </w:pPr>
            <w:r>
              <w:t xml:space="preserve">5,100 tests</w:t>
            </w:r>
          </w:p>
        </w:tc>
        <w:tc>
          <w:tcPr/>
          <w:p>
            <w:pPr>
              <w:pStyle w:val="Compact"/>
              <w:jc w:val="left"/>
            </w:pPr>
            <w:r>
              <w:t xml:space="preserve">185</w:t>
            </w:r>
          </w:p>
        </w:tc>
        <w:tc>
          <w:tcPr/>
          <w:p>
            <w:pPr>
              <w:pStyle w:val="Compact"/>
              <w:jc w:val="left"/>
            </w:pPr>
            <w:r>
              <w:t xml:space="preserve">943,500</w:t>
            </w:r>
          </w:p>
        </w:tc>
      </w:tr>
      <w:tr>
        <w:tc>
          <w:tcPr/>
          <w:p>
            <w:pPr>
              <w:pStyle w:val="Compact"/>
              <w:jc w:val="left"/>
            </w:pPr>
            <w:r>
              <w:t xml:space="preserve">04</w:t>
            </w:r>
          </w:p>
        </w:tc>
        <w:tc>
          <w:tcPr/>
          <w:p>
            <w:pPr>
              <w:pStyle w:val="Compact"/>
              <w:jc w:val="left"/>
            </w:pPr>
            <w:r>
              <w:t xml:space="preserve">Participant Recruitment, Incentives, and Travel Subsidies within Qatar Doha</w:t>
            </w:r>
          </w:p>
        </w:tc>
        <w:tc>
          <w:tcPr/>
          <w:p>
            <w:pPr>
              <w:pStyle w:val="Compact"/>
              <w:jc w:val="left"/>
            </w:pPr>
            <w:r>
              <w:t xml:space="preserve">850 participants</w:t>
            </w:r>
          </w:p>
        </w:tc>
        <w:tc>
          <w:tcPr/>
          <w:p>
            <w:pPr>
              <w:pStyle w:val="Compact"/>
              <w:jc w:val="left"/>
            </w:pPr>
            <w:r>
              <w:t xml:space="preserve">320</w:t>
            </w:r>
          </w:p>
        </w:tc>
        <w:tc>
          <w:tcPr/>
          <w:p>
            <w:pPr>
              <w:pStyle w:val="Compact"/>
              <w:jc w:val="left"/>
            </w:pPr>
            <w:r>
              <w:t xml:space="preserve">272,000</w:t>
            </w:r>
          </w:p>
        </w:tc>
      </w:tr>
      <w:tr>
        <w:tc>
          <w:tcPr/>
          <w:p>
            <w:pPr>
              <w:pStyle w:val="Compact"/>
              <w:jc w:val="left"/>
            </w:pPr>
            <w:r>
              <w:t xml:space="preserve">05</w:t>
            </w:r>
          </w:p>
        </w:tc>
        <w:tc>
          <w:tcPr/>
          <w:p>
            <w:pPr>
              <w:pStyle w:val="Compact"/>
              <w:jc w:val="left"/>
            </w:pPr>
            <w:r>
              <w:t xml:space="preserve">Statistical Software Licences (SPSS, R, SAS) and Data Management Platform</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IRB / Ethics Committee Submission and Review Fees (Qatar Doha)</w:t>
            </w:r>
          </w:p>
        </w:tc>
        <w:tc>
          <w:tcPr/>
          <w:p>
            <w:pPr>
              <w:pStyle w:val="Compact"/>
              <w:jc w:val="left"/>
            </w:pPr>
            <w:r>
              <w:t xml:space="preserve">1 submission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Conference Registration, Travel, and Presentation (3 events in Qatar Doha)</w:t>
            </w:r>
          </w:p>
        </w:tc>
        <w:tc>
          <w:tcPr/>
          <w:p>
            <w:pPr>
              <w:pStyle w:val="Compact"/>
              <w:jc w:val="left"/>
            </w:pPr>
            <w:r>
              <w:t xml:space="preserve">3 events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Publication Fees, Peer-Review Support, and Manuscript Preparation</w:t>
            </w:r>
          </w:p>
        </w:tc>
        <w:tc>
          <w:tcPr/>
          <w:p>
            <w:pPr>
              <w:pStyle w:val="Compact"/>
              <w:jc w:val="left"/>
            </w:pPr>
            <w:r>
              <w:t xml:space="preserve">1 manuscript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09</w:t>
            </w:r>
          </w:p>
        </w:tc>
        <w:tc>
          <w:tcPr/>
          <w:p>
            <w:pPr>
              <w:pStyle w:val="Compact"/>
              <w:jc w:val="left"/>
            </w:pPr>
            <w:r>
              <w:t xml:space="preserve">Office Space, Equipment, and Administrative Support in Doha</w:t>
            </w:r>
          </w:p>
        </w:tc>
        <w:tc>
          <w:tcPr/>
          <w:p>
            <w:pPr>
              <w:pStyle w:val="Compact"/>
              <w:jc w:val="left"/>
            </w:pPr>
            <w:r>
              <w:t xml:space="preserve">12 months</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108,475</w:t>
            </w:r>
          </w:p>
        </w:tc>
      </w:tr>
      <w:tr>
        <w:tc>
          <w:tcPr>
            <w:gridSpan w:val="4"/>
          </w:tcPr>
          <w:p>
            <w:pPr>
              <w:pStyle w:val="Compact"/>
              <w:jc w:val="left"/>
            </w:pPr>
            <w:r>
              <w:rPr>
                <w:bCs/>
                <w:b/>
              </w:rPr>
              <w:t xml:space="preserve">GRAND TOTAL (QAR)</w:t>
            </w:r>
          </w:p>
        </w:tc>
        <w:tc>
          <w:tcPr/>
          <w:p>
            <w:pPr>
              <w:pStyle w:val="Compact"/>
              <w:jc w:val="left"/>
            </w:pPr>
            <w:r>
              <w:rPr>
                <w:bCs/>
                <w:b/>
              </w:rPr>
              <w:t xml:space="preserve">2,696,975</w:t>
            </w:r>
          </w:p>
        </w:tc>
      </w:tr>
      <w:tr>
        <w:tc>
          <w:tcPr>
            <w:gridSpan w:val="4"/>
          </w:tcPr>
          <w:p>
            <w:pPr>
              <w:pStyle w:val="Compact"/>
              <w:jc w:val="left"/>
            </w:pPr>
            <w:r>
              <w:rPr>
                <w:bCs/>
                <w:b/>
              </w:rPr>
              <w:t xml:space="preserve">GRAND TOTAL (USD – approximate at 3.64 QAR/USD)</w:t>
            </w:r>
          </w:p>
        </w:tc>
        <w:tc>
          <w:tcPr/>
          <w:p>
            <w:pPr>
              <w:pStyle w:val="Compact"/>
              <w:jc w:val="left"/>
            </w:pPr>
            <w:r>
              <w:rPr>
                <w:bCs/>
                <w:b/>
              </w:rPr>
              <w:t xml:space="preserve">740,927</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signed acceptance of this Quotation Estimate.</w:t>
      </w:r>
    </w:p>
    <w:p>
      <w:pPr>
        <w:numPr>
          <w:ilvl w:val="0"/>
          <w:numId w:val="1002"/>
        </w:numPr>
        <w:pStyle w:val="Compact"/>
      </w:pPr>
      <w:r>
        <w:t xml:space="preserve">40% milestone payment upon completion of Month 6 interim report and participant recruitment target (500+ enrolled).</w:t>
      </w:r>
    </w:p>
    <w:p>
      <w:pPr>
        <w:numPr>
          <w:ilvl w:val="0"/>
          <w:numId w:val="1002"/>
        </w:numPr>
        <w:pStyle w:val="Compact"/>
      </w:pPr>
      <w:r>
        <w:t xml:space="preserve">30% final payment upon delivery of the final research report, published manuscript, and all raw data archives.</w:t>
      </w:r>
    </w:p>
    <w:p>
      <w:pPr>
        <w:numPr>
          <w:ilvl w:val="0"/>
          <w:numId w:val="1002"/>
        </w:numPr>
        <w:pStyle w:val="Compact"/>
      </w:pPr>
      <w:r>
        <w:t xml:space="preserve">All payments to be made via bank transfer to the designated account in Qatar Doha. Invoices will be issued in Qatari Riyals (QAR).</w:t>
      </w:r>
    </w:p>
    <w:p>
      <w:pPr>
        <w:numPr>
          <w:ilvl w:val="0"/>
          <w:numId w:val="1002"/>
        </w:numPr>
        <w:pStyle w:val="Compact"/>
      </w:pPr>
      <w:r>
        <w:t xml:space="preserve">Payment is due within 30 calendar days of invoice date. Late payments shall accrue interest at 1.5% per month.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revised to reflect market conditions in Qatar Doha.</w:t>
      </w:r>
    </w:p>
    <w:p>
      <w:pPr>
        <w:numPr>
          <w:ilvl w:val="0"/>
          <w:numId w:val="1003"/>
        </w:numPr>
        <w:pStyle w:val="Compact"/>
      </w:pPr>
      <w:r>
        <w:t xml:space="preserve">The Medical Researcher shall comply with all applicable laws and regulations of the State of Qatar, including the Qatar Health Regulatory Authority (QHRA) guidelines and data protection statutes.</w:t>
      </w:r>
    </w:p>
    <w:p>
      <w:pPr>
        <w:numPr>
          <w:ilvl w:val="0"/>
          <w:numId w:val="1003"/>
        </w:numPr>
        <w:pStyle w:val="Compact"/>
      </w:pPr>
      <w:r>
        <w:t xml:space="preserve">All research data collected in Qatar Doha shall be stored on servers located within the country and shall not be transferred abroad without written consent from the client.</w:t>
      </w:r>
    </w:p>
    <w:p>
      <w:pPr>
        <w:numPr>
          <w:ilvl w:val="0"/>
          <w:numId w:val="1003"/>
        </w:numPr>
        <w:pStyle w:val="Compact"/>
      </w:pPr>
      <w:r>
        <w:t xml:space="preserve">Intellectual property arising from this engagement shall be jointly owned by the client and the service provider, as stipulated in a separate IP agreement.</w:t>
      </w:r>
    </w:p>
    <w:p>
      <w:pPr>
        <w:numPr>
          <w:ilvl w:val="0"/>
          <w:numId w:val="1003"/>
        </w:numPr>
        <w:pStyle w:val="Compact"/>
      </w:pPr>
      <w:r>
        <w:t xml:space="preserve">Either party may terminate the contract with sixty (60) days written notice. In such an event, the client shall be invoiced for all services rendered up to the termination date.</w:t>
      </w:r>
    </w:p>
    <w:p>
      <w:pPr>
        <w:numPr>
          <w:ilvl w:val="0"/>
          <w:numId w:val="1003"/>
        </w:numPr>
        <w:pStyle w:val="Compact"/>
      </w:pPr>
      <w:r>
        <w:t xml:space="preserve">The Medical Researcher shall maintain professional indemnity insurance with a minimum coverage of QAR 5,000,000 throughout the contract period.</w:t>
      </w:r>
    </w:p>
    <w:p>
      <w:pPr>
        <w:numPr>
          <w:ilvl w:val="0"/>
          <w:numId w:val="1003"/>
        </w:numPr>
        <w:pStyle w:val="Compact"/>
      </w:pPr>
      <w:r>
        <w:t xml:space="preserve">Force majeure events, including but not limited to government-mandated closures in Qatar Doha, shall suspend obligations without penalty for a maximum of 90 days.</w:t>
      </w:r>
    </w:p>
    <w:p>
      <w:pPr>
        <w:pStyle w:val="FirstParagraph"/>
      </w:pPr>
      <w:r>
        <w:rPr>
          <w:bCs/>
          <w:b/>
        </w:rPr>
        <w:t xml:space="preserve">Note:</w:t>
      </w:r>
      <w:r>
        <w:t xml:space="preserve"> </w:t>
      </w:r>
      <w:r>
        <w:t xml:space="preserve">This Quotation Estimate does not include Value Added Tax (VAT), as Qatar currently does not impose VAT on healthcare and research services. Should any applicable tax legislation change during the contract term, the parties shall negotiate a fair adjustment.</w:t>
      </w:r>
    </w:p>
    <w:bookmarkEnd w:id="25"/>
    <w:bookmarkStart w:id="28" w:name="acceptance-and-authorization"/>
    <w:p>
      <w:pPr>
        <w:pStyle w:val="Heading2"/>
      </w:pPr>
      <w:r>
        <w:t xml:space="preserve">6. Acceptance and Authorization</w:t>
      </w:r>
    </w:p>
    <w:bookmarkStart w:id="26" w:name="prepared-by-service-provider"/>
    <w:p>
      <w:pPr>
        <w:pStyle w:val="Heading3"/>
      </w:pPr>
      <w:r>
        <w:t xml:space="preserve">Prepared By (Service Provider)</w:t>
      </w:r>
    </w:p>
    <w:p>
      <w:pPr>
        <w:pStyle w:val="FirstParagraph"/>
      </w:pPr>
      <w:r>
        <w:t xml:space="preserve">Dr. Sarah Al-Mansouri</w:t>
      </w:r>
      <w:r>
        <w:br/>
      </w:r>
      <w:r>
        <w:t xml:space="preserve">Lead Medical Researcher &amp; Consultant</w:t>
      </w:r>
      <w:r>
        <w:br/>
      </w:r>
      <w:r>
        <w:t xml:space="preserve">Qatar Doha Research Partners LLC</w:t>
      </w:r>
    </w:p>
    <w:p>
      <w:pPr>
        <w:pStyle w:val="BodyText"/>
      </w:pPr>
      <w:r>
        <w:t xml:space="preserve">Signature &amp; Date</w:t>
      </w:r>
    </w:p>
    <w:bookmarkEnd w:id="26"/>
    <w:bookmarkStart w:id="27" w:name="accepted-by-client"/>
    <w:p>
      <w:pPr>
        <w:pStyle w:val="Heading3"/>
      </w:pPr>
      <w:r>
        <w:t xml:space="preserve">Accepted By (Client)</w:t>
      </w:r>
    </w:p>
    <w:p>
      <w:pPr>
        <w:pStyle w:val="FirstParagraph"/>
      </w:pPr>
      <w:r>
        <w:t xml:space="preserve">Dr. Khalid Al-Thani</w:t>
      </w:r>
      <w:r>
        <w:br/>
      </w:r>
      <w:r>
        <w:t xml:space="preserve">Director, Clinical Research Division</w:t>
      </w:r>
      <w:r>
        <w:br/>
      </w:r>
      <w:r>
        <w:t xml:space="preserve">Hamad Medical Corporation, Qatar Doha</w:t>
      </w:r>
    </w:p>
    <w:p>
      <w:pPr>
        <w:pStyle w:val="BodyText"/>
      </w:pPr>
      <w:r>
        <w:t xml:space="preserve">Signature &amp; Date</w:t>
      </w:r>
    </w:p>
    <w:bookmarkEnd w:id="27"/>
    <w:p>
      <w:pPr>
        <w:pStyle w:val="BodyText"/>
      </w:pPr>
      <w:r>
        <w:t xml:space="preserve">Quotation Estimate Ref: QE-MR-QD-2025-0047 | Medical Researcher Services | Qatar Doha</w:t>
      </w:r>
    </w:p>
    <w:p>
      <w:pPr>
        <w:pStyle w:val="BodyText"/>
      </w:pPr>
      <w:r>
        <w:t xml:space="preserve">This document is confidential and intended solely for the named client. Unauthorized reproduction or distribution is prohibited.</w:t>
      </w:r>
    </w:p>
    <w:p>
      <w:pPr>
        <w:pStyle w:val="BodyText"/>
      </w:pPr>
      <w:r>
        <w:t xml:space="preserve">© 2025 Qatar Doha Research Partners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Qatar Doha</dc:title>
  <dc:creator/>
  <dc:language>en</dc:language>
  <cp:keywords/>
  <dcterms:created xsi:type="dcterms:W3CDTF">2026-10-10T04:12:49Z</dcterms:created>
  <dcterms:modified xsi:type="dcterms:W3CDTF">2026-10-10T04:12:49Z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