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Russia</w:t>
      </w:r>
      <w:r>
        <w:t xml:space="preserve"> </w:t>
      </w:r>
      <w:r>
        <w:t xml:space="preserve">Moscow</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Prepared for Deployment in Russia Moscow</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QTE-RU-MSC-2025-0472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Elena V. Sokolova, Senior Research Coordinator</w:t>
            </w:r>
          </w:p>
        </w:tc>
      </w:tr>
      <w:tr>
        <w:tc>
          <w:tcPr/>
          <w:p>
            <w:pPr>
              <w:pStyle w:val="Compact"/>
              <w:jc w:val="left"/>
            </w:pPr>
            <w:r>
              <w:t xml:space="preserve">Client / Recipient</w:t>
            </w:r>
          </w:p>
        </w:tc>
        <w:tc>
          <w:tcPr/>
          <w:p>
            <w:pPr>
              <w:pStyle w:val="Compact"/>
              <w:jc w:val="left"/>
            </w:pPr>
            <w:r>
              <w:t xml:space="preserve">Sechenov First Moscow State Medical University, Research Division</w:t>
            </w:r>
          </w:p>
        </w:tc>
      </w:tr>
      <w:tr>
        <w:tc>
          <w:tcPr/>
          <w:p>
            <w:pPr>
              <w:pStyle w:val="Compact"/>
              <w:jc w:val="left"/>
            </w:pPr>
            <w:r>
              <w:t xml:space="preserve">Project Location</w:t>
            </w:r>
          </w:p>
        </w:tc>
        <w:tc>
          <w:tcPr/>
          <w:p>
            <w:pPr>
              <w:pStyle w:val="Compact"/>
              <w:jc w:val="left"/>
            </w:pPr>
            <w:r>
              <w:t xml:space="preserve">Moscow, Russia – Central Administrative District</w:t>
            </w:r>
          </w:p>
        </w:tc>
      </w:tr>
      <w:tr>
        <w:tc>
          <w:tcPr/>
          <w:p>
            <w:pPr>
              <w:pStyle w:val="Compact"/>
              <w:jc w:val="left"/>
            </w:pPr>
            <w:r>
              <w:t xml:space="preserve">Currency</w:t>
            </w:r>
          </w:p>
        </w:tc>
        <w:tc>
          <w:tcPr/>
          <w:p>
            <w:pPr>
              <w:pStyle w:val="Compact"/>
              <w:jc w:val="left"/>
            </w:pPr>
            <w:r>
              <w:t xml:space="preserve">Russian Ruble (RUB) / USD equivalent</w:t>
            </w:r>
          </w:p>
        </w:tc>
      </w:tr>
    </w:tbl>
    <w:bookmarkStart w:id="21" w:name="X91c08d9eff047ad022bc5715a6ba928dd75c25d"/>
    <w:p>
      <w:pPr>
        <w:pStyle w:val="Heading2"/>
      </w:pPr>
      <w:r>
        <w:t xml:space="preserve">1. Scope of Work – Medical Researcher Engagement</w:t>
      </w:r>
    </w:p>
    <w:p>
      <w:pPr>
        <w:pStyle w:val="FirstParagraph"/>
      </w:pPr>
      <w:r>
        <w:t xml:space="preserve">This Quotation Estimate is issued in response to the formal request for the recruitment, deployment, and ongoing professional engagement of a qualified</w:t>
      </w:r>
      <w:r>
        <w:t xml:space="preserve"> </w:t>
      </w:r>
      <w:r>
        <w:rPr>
          <w:bCs/>
          <w:b/>
        </w:rPr>
        <w:t xml:space="preserve">Medical Researcher</w:t>
      </w:r>
      <w:r>
        <w:t xml:space="preserve"> </w:t>
      </w:r>
      <w:r>
        <w:t xml:space="preserve">to conduct advanced biomedical and clinical research activities within the laboratories and affiliated hospitals of the client institution located in</w:t>
      </w:r>
      <w:r>
        <w:t xml:space="preserve"> </w:t>
      </w:r>
      <w:r>
        <w:rPr>
          <w:bCs/>
          <w:b/>
        </w:rPr>
        <w:t xml:space="preserve">Russia Moscow</w:t>
      </w:r>
      <w:r>
        <w:t xml:space="preserve">. The scope encompasses all phases of the research lifecycle, including literature review, experimental design, data collection, statistical analysis, peer-reviewed publication, and regulatory compliance reporting in accordance with the Federal Law of the Russian Federation on Healthcare and the ethical standards set forth by the Ministry of Health of the Russian Federation.</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Unit</w:t>
            </w:r>
          </w:p>
        </w:tc>
        <w:tc>
          <w:tcPr/>
          <w:p>
            <w:pPr>
              <w:pStyle w:val="Compact"/>
              <w:jc w:val="left"/>
            </w:pPr>
            <w:r>
              <w:t xml:space="preserve">Rate (RUB)</w:t>
            </w:r>
          </w:p>
        </w:tc>
        <w:tc>
          <w:tcPr/>
          <w:p>
            <w:pPr>
              <w:pStyle w:val="Compact"/>
              <w:jc w:val="left"/>
            </w:pPr>
            <w:r>
              <w:t xml:space="preserve">Subtotal (RUB)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Recruitment, vetting, and onboarding of a Senior Medical Researcher (PhD in Biomedical Sciences) for the Moscow research campus</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background verification, visa/work permit processing for Russia</w:t>
            </w:r>
          </w:p>
        </w:tc>
      </w:tr>
      <w:tr>
        <w:tc>
          <w:tcPr/>
          <w:p>
            <w:pPr>
              <w:pStyle w:val="Compact"/>
              <w:jc w:val="left"/>
            </w:pPr>
            <w:r>
              <w:t xml:space="preserve">2</w:t>
            </w:r>
          </w:p>
        </w:tc>
        <w:tc>
          <w:tcPr/>
          <w:p>
            <w:pPr>
              <w:pStyle w:val="Compact"/>
              <w:jc w:val="left"/>
            </w:pPr>
            <w:r>
              <w:t xml:space="preserve">Monthly professional salary and compensation for the Medical Researcher (full-time, 40 hrs/week)</w:t>
            </w:r>
          </w:p>
        </w:tc>
        <w:tc>
          <w:tcPr/>
          <w:p>
            <w:pPr>
              <w:pStyle w:val="Compact"/>
              <w:jc w:val="left"/>
            </w:pPr>
            <w:r>
              <w:t xml:space="preserve">12 months</w:t>
            </w:r>
          </w:p>
        </w:tc>
        <w:tc>
          <w:tcPr/>
          <w:p>
            <w:pPr>
              <w:pStyle w:val="Compact"/>
              <w:jc w:val="left"/>
            </w:pPr>
            <w:r>
              <w:t xml:space="preserve">420,000 / mo</w:t>
            </w:r>
          </w:p>
        </w:tc>
        <w:tc>
          <w:tcPr/>
          <w:p>
            <w:pPr>
              <w:pStyle w:val="Compact"/>
              <w:jc w:val="left"/>
            </w:pPr>
            <w:r>
              <w:t xml:space="preserve">5,040,000</w:t>
            </w:r>
          </w:p>
        </w:tc>
        <w:tc>
          <w:tcPr/>
          <w:p>
            <w:pPr>
              <w:pStyle w:val="Compact"/>
              <w:jc w:val="left"/>
            </w:pPr>
            <w:r>
              <w:t xml:space="preserve">Subject to annual review per Russian labor code</w:t>
            </w:r>
          </w:p>
        </w:tc>
      </w:tr>
      <w:tr>
        <w:tc>
          <w:tcPr/>
          <w:p>
            <w:pPr>
              <w:pStyle w:val="Compact"/>
              <w:jc w:val="left"/>
            </w:pPr>
            <w:r>
              <w:t xml:space="preserve">3</w:t>
            </w:r>
          </w:p>
        </w:tc>
        <w:tc>
          <w:tcPr/>
          <w:p>
            <w:pPr>
              <w:pStyle w:val="Compact"/>
              <w:jc w:val="left"/>
            </w:pPr>
            <w:r>
              <w:t xml:space="preserve">Research laboratory access, reagents, consumables, and equipment usage at the Moscow facility</w:t>
            </w:r>
          </w:p>
        </w:tc>
        <w:tc>
          <w:tcPr/>
          <w:p>
            <w:pPr>
              <w:pStyle w:val="Compact"/>
              <w:jc w:val="left"/>
            </w:pPr>
            <w:r>
              <w:t xml:space="preserve">12 months</w:t>
            </w:r>
          </w:p>
        </w:tc>
        <w:tc>
          <w:tcPr/>
          <w:p>
            <w:pPr>
              <w:pStyle w:val="Compact"/>
              <w:jc w:val="left"/>
            </w:pPr>
            <w:r>
              <w:t xml:space="preserve">95,000 / mo</w:t>
            </w:r>
          </w:p>
        </w:tc>
        <w:tc>
          <w:tcPr/>
          <w:p>
            <w:pPr>
              <w:pStyle w:val="Compact"/>
              <w:jc w:val="left"/>
            </w:pPr>
            <w:r>
              <w:t xml:space="preserve">1,140,000</w:t>
            </w:r>
          </w:p>
        </w:tc>
        <w:tc>
          <w:tcPr/>
          <w:p>
            <w:pPr>
              <w:pStyle w:val="Compact"/>
              <w:jc w:val="left"/>
            </w:pPr>
            <w:r>
              <w:t xml:space="preserve">Covers wet-lab and computational resources</w:t>
            </w:r>
          </w:p>
        </w:tc>
      </w:tr>
      <w:tr>
        <w:tc>
          <w:tcPr/>
          <w:p>
            <w:pPr>
              <w:pStyle w:val="Compact"/>
              <w:jc w:val="left"/>
            </w:pPr>
            <w:r>
              <w:t xml:space="preserve">4</w:t>
            </w:r>
          </w:p>
        </w:tc>
        <w:tc>
          <w:tcPr/>
          <w:p>
            <w:pPr>
              <w:pStyle w:val="Compact"/>
              <w:jc w:val="left"/>
            </w:pPr>
            <w:r>
              <w:t xml:space="preserve">Clinical trial coordination and patient recruitment support within Moscow hospitals</w:t>
            </w:r>
          </w:p>
        </w:tc>
        <w:tc>
          <w:tcPr/>
          <w:p>
            <w:pPr>
              <w:pStyle w:val="Compact"/>
              <w:jc w:val="left"/>
            </w:pPr>
            <w:r>
              <w:t xml:space="preserve">12 months</w:t>
            </w:r>
          </w:p>
        </w:tc>
        <w:tc>
          <w:tcPr/>
          <w:p>
            <w:pPr>
              <w:pStyle w:val="Compact"/>
              <w:jc w:val="left"/>
            </w:pPr>
            <w:r>
              <w:t xml:space="preserve">60,000 / mo</w:t>
            </w:r>
          </w:p>
        </w:tc>
        <w:tc>
          <w:tcPr/>
          <w:p>
            <w:pPr>
              <w:pStyle w:val="Compact"/>
              <w:jc w:val="left"/>
            </w:pPr>
            <w:r>
              <w:t xml:space="preserve">720,000</w:t>
            </w:r>
          </w:p>
        </w:tc>
        <w:tc>
          <w:tcPr/>
          <w:p>
            <w:pPr>
              <w:pStyle w:val="Compact"/>
              <w:jc w:val="left"/>
            </w:pPr>
            <w:r>
              <w:t xml:space="preserve">Includes ethics committee (IRB) filing fees in Russia</w:t>
            </w:r>
          </w:p>
        </w:tc>
      </w:tr>
      <w:tr>
        <w:tc>
          <w:tcPr/>
          <w:p>
            <w:pPr>
              <w:pStyle w:val="Compact"/>
              <w:jc w:val="left"/>
            </w:pPr>
            <w:r>
              <w:t xml:space="preserve">5</w:t>
            </w:r>
          </w:p>
        </w:tc>
        <w:tc>
          <w:tcPr/>
          <w:p>
            <w:pPr>
              <w:pStyle w:val="Compact"/>
              <w:jc w:val="left"/>
            </w:pPr>
            <w:r>
              <w:t xml:space="preserve">Data analysis, biostatistical modeling, and peer-reviewed manuscript preparation (minimum 3 publications)</w:t>
            </w:r>
          </w:p>
        </w:tc>
        <w:tc>
          <w:tcPr/>
          <w:p>
            <w:pPr>
              <w:pStyle w:val="Compact"/>
              <w:jc w:val="left"/>
            </w:pPr>
            <w:r>
              <w:t xml:space="preserve">Per deliverable</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Target journals: Russian Medical Journal, Lancet Regional Health</w:t>
            </w:r>
          </w:p>
        </w:tc>
      </w:tr>
      <w:tr>
        <w:tc>
          <w:tcPr/>
          <w:p>
            <w:pPr>
              <w:pStyle w:val="Compact"/>
              <w:jc w:val="left"/>
            </w:pPr>
            <w:r>
              <w:t xml:space="preserve">6</w:t>
            </w:r>
          </w:p>
        </w:tc>
        <w:tc>
          <w:tcPr/>
          <w:p>
            <w:pPr>
              <w:pStyle w:val="Compact"/>
              <w:jc w:val="left"/>
            </w:pPr>
            <w:r>
              <w:t xml:space="preserve">Regulatory compliance, GxP documentation, and reporting to the Federal Service for Surveillance in Healthcare (Rospotrebnadzor)</w:t>
            </w:r>
          </w:p>
        </w:tc>
        <w:tc>
          <w:tcPr/>
          <w:p>
            <w:pPr>
              <w:pStyle w:val="Compact"/>
              <w:jc w:val="left"/>
            </w:pPr>
            <w:r>
              <w:t xml:space="preserve">12 months</w:t>
            </w:r>
          </w:p>
        </w:tc>
        <w:tc>
          <w:tcPr/>
          <w:p>
            <w:pPr>
              <w:pStyle w:val="Compact"/>
              <w:jc w:val="left"/>
            </w:pPr>
            <w:r>
              <w:t xml:space="preserve">45,000 / mo</w:t>
            </w:r>
          </w:p>
        </w:tc>
        <w:tc>
          <w:tcPr/>
          <w:p>
            <w:pPr>
              <w:pStyle w:val="Compact"/>
              <w:jc w:val="left"/>
            </w:pPr>
            <w:r>
              <w:t xml:space="preserve">540,000</w:t>
            </w:r>
          </w:p>
        </w:tc>
        <w:tc>
          <w:tcPr/>
          <w:p>
            <w:pPr>
              <w:pStyle w:val="Compact"/>
              <w:jc w:val="left"/>
            </w:pPr>
            <w:r>
              <w:t xml:space="preserve">Mandatory for all research conducted in Russia Moscow</w:t>
            </w:r>
          </w:p>
        </w:tc>
      </w:tr>
      <w:tr>
        <w:tc>
          <w:tcPr/>
          <w:p>
            <w:pPr>
              <w:pStyle w:val="Compact"/>
              <w:jc w:val="left"/>
            </w:pPr>
            <w:r>
              <w:t xml:space="preserve">7</w:t>
            </w:r>
          </w:p>
        </w:tc>
        <w:tc>
          <w:tcPr/>
          <w:p>
            <w:pPr>
              <w:pStyle w:val="Compact"/>
              <w:jc w:val="left"/>
            </w:pPr>
            <w:r>
              <w:t xml:space="preserve">Professional liability insurance and occupational health coverage for the Medical Researcher</w:t>
            </w:r>
          </w:p>
        </w:tc>
        <w:tc>
          <w:tcPr/>
          <w:p>
            <w:pPr>
              <w:pStyle w:val="Compact"/>
              <w:jc w:val="left"/>
            </w:pPr>
            <w:r>
              <w:t xml:space="preserve">12 months</w:t>
            </w:r>
          </w:p>
        </w:tc>
        <w:tc>
          <w:tcPr/>
          <w:p>
            <w:pPr>
              <w:pStyle w:val="Compact"/>
              <w:jc w:val="left"/>
            </w:pPr>
            <w:r>
              <w:t xml:space="preserve">38,000 / mo</w:t>
            </w:r>
          </w:p>
        </w:tc>
        <w:tc>
          <w:tcPr/>
          <w:p>
            <w:pPr>
              <w:pStyle w:val="Compact"/>
              <w:jc w:val="left"/>
            </w:pPr>
            <w:r>
              <w:t xml:space="preserve">456,000</w:t>
            </w:r>
          </w:p>
        </w:tc>
        <w:tc>
          <w:tcPr/>
          <w:p>
            <w:pPr>
              <w:pStyle w:val="Compact"/>
              <w:jc w:val="left"/>
            </w:pPr>
            <w:r>
              <w:t xml:space="preserve">Compliant with Russian Federation insurance regulations</w:t>
            </w:r>
          </w:p>
        </w:tc>
      </w:tr>
      <w:tr>
        <w:tc>
          <w:tcPr/>
          <w:p>
            <w:pPr>
              <w:pStyle w:val="Compact"/>
              <w:jc w:val="left"/>
            </w:pPr>
            <w:r>
              <w:t xml:space="preserve">8</w:t>
            </w:r>
          </w:p>
        </w:tc>
        <w:tc>
          <w:tcPr/>
          <w:p>
            <w:pPr>
              <w:pStyle w:val="Compact"/>
              <w:jc w:val="left"/>
            </w:pPr>
            <w:r>
              <w:t xml:space="preserve">Administrative support, office space, and IT infrastructure in the Moscow research office</w:t>
            </w:r>
          </w:p>
        </w:tc>
        <w:tc>
          <w:tcPr/>
          <w:p>
            <w:pPr>
              <w:pStyle w:val="Compact"/>
              <w:jc w:val="left"/>
            </w:pPr>
            <w:r>
              <w:t xml:space="preserve">12 months</w:t>
            </w:r>
          </w:p>
        </w:tc>
        <w:tc>
          <w:tcPr/>
          <w:p>
            <w:pPr>
              <w:pStyle w:val="Compact"/>
              <w:jc w:val="left"/>
            </w:pPr>
            <w:r>
              <w:t xml:space="preserve">28,000 / mo</w:t>
            </w:r>
          </w:p>
        </w:tc>
        <w:tc>
          <w:tcPr/>
          <w:p>
            <w:pPr>
              <w:pStyle w:val="Compact"/>
              <w:jc w:val="left"/>
            </w:pPr>
            <w:r>
              <w:t xml:space="preserve">336,000</w:t>
            </w:r>
          </w:p>
        </w:tc>
        <w:tc>
          <w:tcPr/>
          <w:p>
            <w:pPr>
              <w:pStyle w:val="Compact"/>
              <w:jc w:val="left"/>
            </w:pPr>
            <w:r>
              <w:t xml:space="preserve">Dedicated workstation, secure data storage</w:t>
            </w:r>
          </w:p>
        </w:tc>
      </w:tr>
      <w:tr>
        <w:tc>
          <w:tcPr/>
          <w:p>
            <w:pPr>
              <w:pStyle w:val="Compact"/>
              <w:jc w:val="left"/>
            </w:pPr>
            <w:r>
              <w:t xml:space="preserve">9</w:t>
            </w:r>
          </w:p>
        </w:tc>
        <w:tc>
          <w:tcPr/>
          <w:p>
            <w:pPr>
              <w:pStyle w:val="Compact"/>
              <w:jc w:val="left"/>
            </w:pPr>
            <w:r>
              <w:t xml:space="preserve">Conference attendance, professional development, and networking in Moscow and international venues</w:t>
            </w:r>
          </w:p>
        </w:tc>
        <w:tc>
          <w:tcPr/>
          <w:p>
            <w:pPr>
              <w:pStyle w:val="Compact"/>
              <w:jc w:val="left"/>
            </w:pPr>
            <w:r>
              <w:t xml:space="preserve">Annual</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Includes travel, accommodation, and registration</w:t>
            </w:r>
          </w:p>
        </w:tc>
      </w:tr>
      <w:tr>
        <w:tc>
          <w:tcPr/>
          <w:p>
            <w:pPr>
              <w:pStyle w:val="Compact"/>
              <w:jc w:val="left"/>
            </w:pPr>
            <w:r>
              <w:t xml:space="preserve">10</w:t>
            </w:r>
          </w:p>
        </w:tc>
        <w:tc>
          <w:tcPr/>
          <w:p>
            <w:pPr>
              <w:pStyle w:val="Compact"/>
              <w:jc w:val="left"/>
            </w:pPr>
            <w:r>
              <w:t xml:space="preserve">Project management oversight, quarterly progress reporting, and final deliverable acceptance</w:t>
            </w:r>
          </w:p>
        </w:tc>
        <w:tc>
          <w:tcPr/>
          <w:p>
            <w:pPr>
              <w:pStyle w:val="Compact"/>
              <w:jc w:val="left"/>
            </w:pPr>
            <w:r>
              <w:t xml:space="preserve">12 months</w:t>
            </w:r>
          </w:p>
        </w:tc>
        <w:tc>
          <w:tcPr/>
          <w:p>
            <w:pPr>
              <w:pStyle w:val="Compact"/>
              <w:jc w:val="left"/>
            </w:pPr>
            <w:r>
              <w:t xml:space="preserve">55,000 / mo</w:t>
            </w:r>
          </w:p>
        </w:tc>
        <w:tc>
          <w:tcPr/>
          <w:p>
            <w:pPr>
              <w:pStyle w:val="Compact"/>
              <w:jc w:val="left"/>
            </w:pPr>
            <w:r>
              <w:t xml:space="preserve">660,000</w:t>
            </w:r>
          </w:p>
        </w:tc>
        <w:tc>
          <w:tcPr/>
          <w:p>
            <w:pPr>
              <w:pStyle w:val="Compact"/>
              <w:jc w:val="left"/>
            </w:pPr>
            <w:r>
              <w:t xml:space="preserve">Monthly reports submitted to client leadership</w:t>
            </w:r>
          </w:p>
        </w:tc>
      </w:tr>
      <w:tr>
        <w:tc>
          <w:tcPr>
            <w:gridSpan w:val="4"/>
          </w:tcPr>
          <w:p>
            <w:pPr>
              <w:pStyle w:val="Compact"/>
              <w:jc w:val="right"/>
            </w:pPr>
            <w:r>
              <w:t xml:space="preserve">TOTAL ESTIMATED COST (12-Month Engagement)</w:t>
            </w:r>
          </w:p>
        </w:tc>
        <w:tc>
          <w:tcPr/>
          <w:p>
            <w:pPr>
              <w:pStyle w:val="Compact"/>
              <w:jc w:val="left"/>
            </w:pPr>
            <w:r>
              <w:t xml:space="preserve">9,727,000 RUB</w:t>
            </w:r>
          </w:p>
        </w:tc>
        <w:tc>
          <w:tcPr/>
          <w:p>
            <w:pPr>
              <w:pStyle w:val="Compact"/>
              <w:jc w:val="left"/>
            </w:pPr>
            <w:r>
              <w:t xml:space="preserve">≈ USD 104,500</w:t>
            </w:r>
          </w:p>
        </w:tc>
      </w:tr>
    </w:tbl>
    <w:bookmarkEnd w:id="22"/>
    <w:bookmarkStart w:id="23" w:name="payment-terms"/>
    <w:p>
      <w:pPr>
        <w:pStyle w:val="Heading2"/>
      </w:pPr>
      <w:r>
        <w:t xml:space="preserve">3. Payment Terms</w:t>
      </w:r>
    </w:p>
    <w:p>
      <w:pPr>
        <w:pStyle w:val="FirstParagraph"/>
      </w:pPr>
      <w:r>
        <w:t xml:space="preserve">All payments under this Quotation Estimate shall be made in Russian Rubles (RUB) via bank transfer to the designated account of the service provider. An initial deposit of 25% (2,431,750 RUB) is due upon acceptance of this estimate. The remaining balance shall be invoiced on a monthly basis, payable within 15 business days of invoice receipt. Late payments shall incur a penalty of 0.1% per calendar day in accordance with Russian commercial law (Civil Code of the Russian Federation, Part 1, Article 317.1).</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30 calendar days from the date of issue. After expiry, all rates and availability must be reconfirmed in writing.</w:t>
      </w:r>
    </w:p>
    <w:p>
      <w:pPr>
        <w:numPr>
          <w:ilvl w:val="0"/>
          <w:numId w:val="1001"/>
        </w:numPr>
        <w:pStyle w:val="Compact"/>
      </w:pPr>
      <w:r>
        <w:t xml:space="preserve">The Medical Researcher shall be bound by a strict Non-Disclosure Agreement (NDA) and Intellectual Property Assignment Agreement specific to research conducted in Russia Moscow.</w:t>
      </w:r>
    </w:p>
    <w:p>
      <w:pPr>
        <w:numPr>
          <w:ilvl w:val="0"/>
          <w:numId w:val="1001"/>
        </w:numPr>
        <w:pStyle w:val="Compact"/>
      </w:pPr>
      <w:r>
        <w:t xml:space="preserve">All research activities must comply with the ethical guidelines of the Helsinki Declaration, the Federal Law No. 323-FZ "On the Basics of Health Protection of Citizens in the Russian Federation," and applicable GCP (Good Clinical Practice) standards.</w:t>
      </w:r>
    </w:p>
    <w:p>
      <w:pPr>
        <w:numPr>
          <w:ilvl w:val="0"/>
          <w:numId w:val="1001"/>
        </w:numPr>
        <w:pStyle w:val="Compact"/>
      </w:pPr>
      <w:r>
        <w:t xml:space="preserve">The client reserves the right to request a mid-term performance review. Material breach of scope by either party entitles the non-breaching party to terminate with 30 days' written notice.</w:t>
      </w:r>
    </w:p>
    <w:p>
      <w:pPr>
        <w:numPr>
          <w:ilvl w:val="0"/>
          <w:numId w:val="1001"/>
        </w:numPr>
        <w:pStyle w:val="Compact"/>
      </w:pPr>
      <w:r>
        <w:t xml:space="preserve">Force majeure events, including but not limited to government sanctions, embargoes, or public health emergencies affecting operations in Russia Moscow, shall be governed by the force majeure clause of the master service agreement.</w:t>
      </w:r>
    </w:p>
    <w:p>
      <w:pPr>
        <w:numPr>
          <w:ilvl w:val="0"/>
          <w:numId w:val="1001"/>
        </w:numPr>
        <w:pStyle w:val="Compact"/>
      </w:pPr>
      <w:r>
        <w:t xml:space="preserve">Disputes arising from this Quotation Estimate shall be resolved through arbitration under the rules of the International Commercial Arbitration Court at the Chamber of Commerce and Industry of the Russian Federation (Moscow).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Medical Researcher services in Russia Moscow and agrees to the terms, conditions, and pricing outlined herein. This document does not constitute a binding contract until a formal Service Agreement is executed by both parties.</w:t>
      </w:r>
    </w:p>
    <w:p>
      <w:pPr>
        <w:pStyle w:val="BodyText"/>
      </w:pPr>
      <w:r>
        <w:rPr>
          <w:bCs/>
          <w:b/>
        </w:rPr>
        <w:t xml:space="preserve">Prepared By:</w:t>
      </w:r>
      <w:r>
        <w:br/>
      </w:r>
      <w:r>
        <w:t xml:space="preserve">Dr. Elena V. Sokolova</w:t>
      </w:r>
      <w:r>
        <w:br/>
      </w:r>
      <w:r>
        <w:t xml:space="preserve">Senior Research Coordinator</w:t>
      </w:r>
      <w:r>
        <w:br/>
      </w:r>
      <w:r>
        <w:t xml:space="preserve">Date: _______________</w:t>
      </w:r>
    </w:p>
    <w:p>
      <w:pPr>
        <w:pStyle w:val="BodyText"/>
      </w:pPr>
      <w:r>
        <w:rPr>
          <w:bCs/>
          <w:b/>
        </w:rPr>
        <w:t xml:space="preserve">Accepted By (Client):</w:t>
      </w:r>
      <w:r>
        <w:br/>
      </w:r>
      <w:r>
        <w:t xml:space="preserve">Head of Research Division</w:t>
      </w:r>
      <w:r>
        <w:br/>
      </w:r>
      <w:r>
        <w:t xml:space="preserve">Sechenov First MSMU, Moscow</w:t>
      </w:r>
      <w:r>
        <w:br/>
      </w:r>
      <w:r>
        <w:t xml:space="preserve">Date: _______________</w:t>
      </w:r>
    </w:p>
    <w:p>
      <w:pPr>
        <w:pStyle w:val="BodyText"/>
      </w:pPr>
      <w:r>
        <w:t xml:space="preserve">Quotation Estimate QTE-RU-MSC-2025-0472 | Medical Researcher Services | Russia Moscow</w:t>
      </w:r>
    </w:p>
    <w:p>
      <w:pPr>
        <w:pStyle w:val="BodyText"/>
      </w:pPr>
      <w:r>
        <w:t xml:space="preserve">This document is confidential and intended solely for the named recipient. Unauthorized distribution is prohibited.</w:t>
      </w:r>
    </w:p>
    <w:p>
      <w:pPr>
        <w:pStyle w:val="BodyText"/>
      </w:pPr>
      <w:r>
        <w:t xml:space="preserve">© 2025 Research Services International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Russia Moscow</dc:title>
  <dc:creator/>
  <dc:language>en</dc:language>
  <cp:keywords/>
  <dcterms:created xsi:type="dcterms:W3CDTF">2026-10-10T02:03:12Z</dcterms:created>
  <dcterms:modified xsi:type="dcterms:W3CDTF">2026-10-10T02:03:12Z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