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siammed-research-consulting-co.-ltd."/>
    <w:p>
      <w:pPr>
        <w:pStyle w:val="Heading1"/>
      </w:pPr>
      <w:r>
        <w:t xml:space="preserve">SiamMed Research Consulting Co., Ltd.</w:t>
      </w:r>
    </w:p>
    <w:p>
      <w:pPr>
        <w:pStyle w:val="FirstParagraph"/>
      </w:pPr>
      <w:r>
        <w:t xml:space="preserve">128 Sukhumvit Road, Khlong Toei, Bangkok 10110, Thailand</w:t>
      </w:r>
    </w:p>
    <w:p>
      <w:pPr>
        <w:pStyle w:val="BodyText"/>
      </w:pPr>
      <w:r>
        <w:t xml:space="preserve">Tel: +66 (0) 2 255 8800 | Email: quotations@siammedresearch.co.th</w:t>
      </w:r>
    </w:p>
    <w:p>
      <w:pPr>
        <w:pStyle w:val="BodyText"/>
      </w:pPr>
      <w:r>
        <w:t xml:space="preserve">Company Registration No. 0105559876543 | VAT No. 0105559876543</w:t>
      </w:r>
    </w:p>
    <w:bookmarkEnd w:id="20"/>
    <w:p>
      <w:pPr>
        <w:pStyle w:val="BodyText"/>
      </w:pPr>
      <w:r>
        <w:t xml:space="preserve">Quotation Estimate</w:t>
      </w:r>
    </w:p>
    <w:p>
      <w:pPr>
        <w:pStyle w:val="BodyText"/>
      </w:pPr>
      <w:r>
        <w:t xml:space="preserve">Quotation Estimate Reference No.: QTE-2025-BKK-0472</w:t>
      </w:r>
      <w:r>
        <w:br/>
      </w:r>
      <w:r>
        <w:t xml:space="preserve">Date of Issue: 15 June 2025</w:t>
      </w:r>
      <w:r>
        <w:br/>
      </w:r>
      <w:r>
        <w:t xml:space="preserve">Valid Until: 15 July 2025</w:t>
      </w:r>
    </w:p>
    <w:bookmarkStart w:id="23" w:name="parties-involved"/>
    <w:p>
      <w:pPr>
        <w:pStyle w:val="Heading2"/>
      </w:pPr>
      <w:r>
        <w:t xml:space="preserve">1. Parties Involved</w:t>
      </w:r>
    </w:p>
    <w:bookmarkStart w:id="21" w:name="prepared-by-service-provider"/>
    <w:p>
      <w:pPr>
        <w:pStyle w:val="Heading3"/>
      </w:pPr>
      <w:r>
        <w:t xml:space="preserve">Prepared By (Service Provider)</w:t>
      </w:r>
    </w:p>
    <w:p>
      <w:pPr>
        <w:pStyle w:val="FirstParagraph"/>
      </w:pPr>
      <w:r>
        <w:rPr>
          <w:bCs/>
          <w:b/>
        </w:rPr>
        <w:t xml:space="preserve">SiamMed Research Consulting Co., Ltd.</w:t>
      </w:r>
    </w:p>
    <w:p>
      <w:pPr>
        <w:pStyle w:val="BodyText"/>
      </w:pPr>
      <w:r>
        <w:t xml:space="preserve">128 Sukhumvit Road, Khlong Toei</w:t>
      </w:r>
    </w:p>
    <w:p>
      <w:pPr>
        <w:pStyle w:val="BodyText"/>
      </w:pPr>
      <w:r>
        <w:t xml:space="preserve">Bangkok 10110, Thailand</w:t>
      </w:r>
    </w:p>
    <w:p>
      <w:pPr>
        <w:pStyle w:val="BodyText"/>
      </w:pPr>
      <w:r>
        <w:t xml:space="preserve">Contact: Dr. Ananya Prasert</w:t>
      </w:r>
    </w:p>
    <w:p>
      <w:pPr>
        <w:pStyle w:val="BodyText"/>
      </w:pPr>
      <w:r>
        <w:t xml:space="preserve">Role: Senior Medical Researcher &amp; Lead Consultant</w:t>
      </w:r>
    </w:p>
    <w:bookmarkEnd w:id="21"/>
    <w:bookmarkStart w:id="22" w:name="prepared-for-client"/>
    <w:p>
      <w:pPr>
        <w:pStyle w:val="Heading3"/>
      </w:pPr>
      <w:r>
        <w:t xml:space="preserve">Prepared For (Client)</w:t>
      </w:r>
    </w:p>
    <w:p>
      <w:pPr>
        <w:pStyle w:val="FirstParagraph"/>
      </w:pPr>
      <w:r>
        <w:rPr>
          <w:bCs/>
          <w:b/>
        </w:rPr>
        <w:t xml:space="preserve">Chulalongkorn Biomedical Innovation Centre</w:t>
      </w:r>
    </w:p>
    <w:p>
      <w:pPr>
        <w:pStyle w:val="BodyText"/>
      </w:pPr>
      <w:r>
        <w:t xml:space="preserve">1034 Phayathai Road, Pathum Wan</w:t>
      </w:r>
    </w:p>
    <w:p>
      <w:pPr>
        <w:pStyle w:val="BodyText"/>
      </w:pPr>
      <w:r>
        <w:t xml:space="preserve">Bangkok 10330, Thailand</w:t>
      </w:r>
    </w:p>
    <w:p>
      <w:pPr>
        <w:pStyle w:val="BodyText"/>
      </w:pPr>
      <w:r>
        <w:t xml:space="preserve">Contact: Prof. Dr. Somchai Wongsawat</w:t>
      </w:r>
    </w:p>
    <w:p>
      <w:pPr>
        <w:pStyle w:val="BodyText"/>
      </w:pPr>
      <w:r>
        <w:t xml:space="preserve">Role: Director of Clinical Research Division</w:t>
      </w:r>
    </w:p>
    <w:bookmarkEnd w:id="22"/>
    <w:bookmarkEnd w:id="23"/>
    <w:bookmarkStart w:id="24" w:name="X0c7581080508d578c26b6d8dfd726c7e3ca5cc9"/>
    <w:p>
      <w:pPr>
        <w:pStyle w:val="Heading2"/>
      </w:pPr>
      <w:r>
        <w:t xml:space="preserve">2. Purpose and Scope of This Quotation Estimate</w:t>
      </w:r>
    </w:p>
    <w:p>
      <w:pPr>
        <w:pStyle w:val="FirstParagraph"/>
      </w:pPr>
      <w:r>
        <w:t xml:space="preserve">This</w:t>
      </w:r>
      <w:r>
        <w:t xml:space="preserve"> </w:t>
      </w:r>
      <w:r>
        <w:t xml:space="preserve">Quotation Estimate</w:t>
      </w:r>
      <w:r>
        <w:t xml:space="preserve"> </w:t>
      </w:r>
      <w:r>
        <w:t xml:space="preserve">is issued by SiamMed Research Consulting Co., Ltd. to formally outline the professional fees, deliverables, and associated costs for the engagement of a qualified</w:t>
      </w:r>
      <w:r>
        <w:t xml:space="preserve"> </w:t>
      </w:r>
      <w:r>
        <w:t xml:space="preserve">Medical Researcher</w:t>
      </w:r>
      <w:r>
        <w:t xml:space="preserve"> </w:t>
      </w:r>
      <w:r>
        <w:t xml:space="preserve">to conduct a comprehensive clinical and epidemiological study within the</w:t>
      </w:r>
      <w:r>
        <w:t xml:space="preserve"> </w:t>
      </w:r>
      <w:r>
        <w:t xml:space="preserve">Thailand Bangkok</w:t>
      </w:r>
      <w:r>
        <w:t xml:space="preserve"> </w:t>
      </w:r>
      <w:r>
        <w:t xml:space="preserve">metropolitan area. The scope of work encompasses the full lifecycle of the research project, including protocol design, participant recruitment, data collection, statistical analysis, and the preparation of a final peer-review-ready publication. All services described in this</w:t>
      </w:r>
      <w:r>
        <w:t xml:space="preserve"> </w:t>
      </w:r>
      <w:r>
        <w:t xml:space="preserve">Quotation Estimate</w:t>
      </w:r>
      <w:r>
        <w:t xml:space="preserve"> </w:t>
      </w:r>
      <w:r>
        <w:t xml:space="preserve">are to be performed in full compliance with the Thai Ministry of Public Health regulations, the National Research Council of Thailand (NRCT) ethical standards, and the Declaration of Helsinki.</w:t>
      </w:r>
    </w:p>
    <w:bookmarkEnd w:id="24"/>
    <w:bookmarkStart w:id="25" w:name="X605705d6db481650752d9a9e7f959f6dbd698be"/>
    <w:p>
      <w:pPr>
        <w:pStyle w:val="Heading2"/>
      </w:pPr>
      <w:r>
        <w:t xml:space="preserve">3. Detailed Scope of Work – Medical Researcher Services</w:t>
      </w:r>
    </w:p>
    <w:p>
      <w:pPr>
        <w:pStyle w:val="FirstParagraph"/>
      </w:pPr>
      <w:r>
        <w:t xml:space="preserve">The</w:t>
      </w:r>
      <w:r>
        <w:t xml:space="preserve"> </w:t>
      </w:r>
      <w:r>
        <w:t xml:space="preserve">Medical Researcher</w:t>
      </w:r>
      <w:r>
        <w:t xml:space="preserve"> </w:t>
      </w:r>
      <w:r>
        <w:t xml:space="preserve">engaged under this</w:t>
      </w:r>
      <w:r>
        <w:t xml:space="preserve"> </w:t>
      </w:r>
      <w:r>
        <w:t xml:space="preserve">Quotation Estimate</w:t>
      </w:r>
      <w:r>
        <w:t xml:space="preserve"> </w:t>
      </w:r>
      <w:r>
        <w:t xml:space="preserve">will be responsible for the following activities, all conducted primarily at the client's facility in</w:t>
      </w:r>
      <w:r>
        <w:t xml:space="preserve"> </w:t>
      </w:r>
      <w:r>
        <w:t xml:space="preserve">Thailand Bangkok</w:t>
      </w:r>
      <w:r>
        <w:t xml:space="preserve"> </w:t>
      </w:r>
      <w:r>
        <w:t xml:space="preserve">and at approved satellite clinical sites across the Bangkok metropolitan region:</w:t>
      </w:r>
    </w:p>
    <w:p>
      <w:pPr>
        <w:numPr>
          <w:ilvl w:val="0"/>
          <w:numId w:val="1001"/>
        </w:numPr>
        <w:pStyle w:val="Compact"/>
      </w:pPr>
      <w:r>
        <w:t xml:space="preserve">Development of a detailed research protocol, including inclusion/exclusion criteria, primary and secondary endpoints, and statistical power calculations.</w:t>
      </w:r>
    </w:p>
    <w:p>
      <w:pPr>
        <w:numPr>
          <w:ilvl w:val="0"/>
          <w:numId w:val="1001"/>
        </w:numPr>
        <w:pStyle w:val="Compact"/>
      </w:pPr>
      <w:r>
        <w:t xml:space="preserve">Submission of the research protocol to the Institutional Review Board (IRB) of the designated hospital in</w:t>
      </w:r>
      <w:r>
        <w:t xml:space="preserve"> </w:t>
      </w:r>
      <w:r>
        <w:t xml:space="preserve">Thailand Bangkok</w:t>
      </w:r>
      <w:r>
        <w:t xml:space="preserve"> </w:t>
      </w:r>
      <w:r>
        <w:t xml:space="preserve">and management of all ethical clearance documentation.</w:t>
      </w:r>
    </w:p>
    <w:p>
      <w:pPr>
        <w:numPr>
          <w:ilvl w:val="0"/>
          <w:numId w:val="1001"/>
        </w:numPr>
        <w:pStyle w:val="Compact"/>
      </w:pPr>
      <w:r>
        <w:t xml:space="preserve">Recruitment and screening of a minimum of 450 adult participants across three clinical sites in Bangkok (Bangkok, Nonthaburi, and Pathum Thani provinces).</w:t>
      </w:r>
    </w:p>
    <w:p>
      <w:pPr>
        <w:numPr>
          <w:ilvl w:val="0"/>
          <w:numId w:val="1001"/>
        </w:numPr>
        <w:pStyle w:val="Compact"/>
      </w:pPr>
      <w:r>
        <w:t xml:space="preserve">Conduct of standardized clinical assessments, blood sample collection, and longitudinal follow-up visits over a 12-month observation period.</w:t>
      </w:r>
    </w:p>
    <w:p>
      <w:pPr>
        <w:numPr>
          <w:ilvl w:val="0"/>
          <w:numId w:val="1001"/>
        </w:numPr>
        <w:pStyle w:val="Compact"/>
      </w:pPr>
      <w:r>
        <w:t xml:space="preserve">Management of the electronic data capture (EDC) system, including data entry, cleaning, and quality assurance checks.</w:t>
      </w:r>
    </w:p>
    <w:p>
      <w:pPr>
        <w:numPr>
          <w:ilvl w:val="0"/>
          <w:numId w:val="1001"/>
        </w:numPr>
        <w:pStyle w:val="Compact"/>
      </w:pPr>
      <w:r>
        <w:t xml:space="preserve">Performance of biostatistical analyses using SPSS and R software, including multivariate regression modelling and survival analysis.</w:t>
      </w:r>
    </w:p>
    <w:p>
      <w:pPr>
        <w:numPr>
          <w:ilvl w:val="0"/>
          <w:numId w:val="1001"/>
        </w:numPr>
        <w:pStyle w:val="Compact"/>
      </w:pPr>
      <w:r>
        <w:t xml:space="preserve">Preparation of a comprehensive final research report (minimum 80 pages) and a manuscript suitable for submission to an indexed international medical journal.</w:t>
      </w:r>
    </w:p>
    <w:p>
      <w:pPr>
        <w:numPr>
          <w:ilvl w:val="0"/>
          <w:numId w:val="1001"/>
        </w:numPr>
        <w:pStyle w:val="Compact"/>
      </w:pPr>
      <w:r>
        <w:t xml:space="preserve">Two on-site progress review meetings per quarter held at the client's Bangkok office, plus unlimited remote consultations.</w:t>
      </w:r>
    </w:p>
    <w:bookmarkEnd w:id="25"/>
    <w:bookmarkStart w:id="26"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Medical Researcher – Protocol Design &amp; IRB Submission (Senior Medical Researcher, MD, PhD)</w:t>
            </w:r>
          </w:p>
        </w:tc>
        <w:tc>
          <w:tcPr/>
          <w:p>
            <w:pPr>
              <w:pStyle w:val="Compact"/>
              <w:jc w:val="left"/>
            </w:pPr>
            <w:r>
              <w:t xml:space="preserve">1 month</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Medical Researcher – Participant Recruitment &amp; Screening (3 sites in Thailand Bangkok)</w:t>
            </w:r>
          </w:p>
        </w:tc>
        <w:tc>
          <w:tcPr/>
          <w:p>
            <w:pPr>
              <w:pStyle w:val="Compact"/>
              <w:jc w:val="left"/>
            </w:pPr>
            <w:r>
              <w:t xml:space="preserve">3 months</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03</w:t>
            </w:r>
          </w:p>
        </w:tc>
        <w:tc>
          <w:tcPr/>
          <w:p>
            <w:pPr>
              <w:pStyle w:val="Compact"/>
              <w:jc w:val="left"/>
            </w:pPr>
            <w:r>
              <w:t xml:space="preserve">Medical Researcher – Clinical Data Collection &amp; Follow-Up Visits (12-month period)</w:t>
            </w:r>
          </w:p>
        </w:tc>
        <w:tc>
          <w:tcPr/>
          <w:p>
            <w:pPr>
              <w:pStyle w:val="Compact"/>
              <w:jc w:val="left"/>
            </w:pPr>
            <w:r>
              <w:t xml:space="preserve">12 months</w:t>
            </w:r>
          </w:p>
        </w:tc>
        <w:tc>
          <w:tcPr/>
          <w:p>
            <w:pPr>
              <w:pStyle w:val="Compact"/>
              <w:jc w:val="left"/>
            </w:pPr>
            <w:r>
              <w:t xml:space="preserve">195,000</w:t>
            </w:r>
          </w:p>
        </w:tc>
        <w:tc>
          <w:tcPr/>
          <w:p>
            <w:pPr>
              <w:pStyle w:val="Compact"/>
              <w:jc w:val="left"/>
            </w:pPr>
            <w:r>
              <w:t xml:space="preserve">2,340,000</w:t>
            </w:r>
          </w:p>
        </w:tc>
      </w:tr>
      <w:tr>
        <w:tc>
          <w:tcPr/>
          <w:p>
            <w:pPr>
              <w:pStyle w:val="Compact"/>
              <w:jc w:val="left"/>
            </w:pPr>
            <w:r>
              <w:t xml:space="preserve">04</w:t>
            </w:r>
          </w:p>
        </w:tc>
        <w:tc>
          <w:tcPr/>
          <w:p>
            <w:pPr>
              <w:pStyle w:val="Compact"/>
              <w:jc w:val="left"/>
            </w:pPr>
            <w:r>
              <w:t xml:space="preserve">Biostatistical Analysis &amp; Data Management (R, SPSS, SAS)</w:t>
            </w:r>
          </w:p>
        </w:tc>
        <w:tc>
          <w:tcPr/>
          <w:p>
            <w:pPr>
              <w:pStyle w:val="Compact"/>
              <w:jc w:val="left"/>
            </w:pPr>
            <w:r>
              <w:t xml:space="preserve">2 months</w:t>
            </w:r>
          </w:p>
        </w:tc>
        <w:tc>
          <w:tcPr/>
          <w:p>
            <w:pPr>
              <w:pStyle w:val="Compact"/>
              <w:jc w:val="left"/>
            </w:pPr>
            <w:r>
              <w:t xml:space="preserve">160,000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Final Research Report &amp; Journal Manuscript Preparation</w:t>
            </w:r>
          </w:p>
        </w:tc>
        <w:tc>
          <w:tcPr/>
          <w:p>
            <w:pPr>
              <w:pStyle w:val="Compact"/>
              <w:jc w:val="left"/>
            </w:pPr>
            <w:r>
              <w:t xml:space="preserve">1 month</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06</w:t>
            </w:r>
          </w:p>
        </w:tc>
        <w:tc>
          <w:tcPr/>
          <w:p>
            <w:pPr>
              <w:pStyle w:val="Compact"/>
              <w:jc w:val="left"/>
            </w:pPr>
            <w:r>
              <w:t xml:space="preserve">Travel &amp; Logistics within Thailand Bangkok Metropolitan Area (3 sites)</w:t>
            </w:r>
          </w:p>
        </w:tc>
        <w:tc>
          <w:tcPr/>
          <w:p>
            <w:pPr>
              <w:pStyle w:val="Compact"/>
              <w:jc w:val="left"/>
            </w:pPr>
            <w:r>
              <w:t xml:space="preserve">12 months</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07</w:t>
            </w:r>
          </w:p>
        </w:tc>
        <w:tc>
          <w:tcPr/>
          <w:p>
            <w:pPr>
              <w:pStyle w:val="Compact"/>
              <w:jc w:val="left"/>
            </w:pPr>
            <w:r>
              <w:t xml:space="preserve">Laboratory Consumables, Reagents &amp; Sample Storage (per participant)</w:t>
            </w:r>
          </w:p>
        </w:tc>
        <w:tc>
          <w:tcPr/>
          <w:p>
            <w:pPr>
              <w:pStyle w:val="Compact"/>
              <w:jc w:val="left"/>
            </w:pPr>
            <w:r>
              <w:t xml:space="preserve">450 pax</w:t>
            </w:r>
          </w:p>
        </w:tc>
        <w:tc>
          <w:tcPr/>
          <w:p>
            <w:pPr>
              <w:pStyle w:val="Compact"/>
              <w:jc w:val="left"/>
            </w:pPr>
            <w:r>
              <w:t xml:space="preserve">3,200</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Electronic Data Capture (EDC) Platform Licence &amp; Hosting</w:t>
            </w:r>
          </w:p>
        </w:tc>
        <w:tc>
          <w:tcPr/>
          <w:p>
            <w:pPr>
              <w:pStyle w:val="Compact"/>
              <w:jc w:val="left"/>
            </w:pPr>
            <w:r>
              <w:t xml:space="preserve">14 months</w:t>
            </w:r>
          </w:p>
        </w:tc>
        <w:tc>
          <w:tcPr/>
          <w:p>
            <w:pPr>
              <w:pStyle w:val="Compact"/>
              <w:jc w:val="left"/>
            </w:pPr>
            <w:r>
              <w:t xml:space="preserve">42,000</w:t>
            </w:r>
          </w:p>
        </w:tc>
        <w:tc>
          <w:tcPr/>
          <w:p>
            <w:pPr>
              <w:pStyle w:val="Compact"/>
              <w:jc w:val="left"/>
            </w:pPr>
            <w:r>
              <w:t xml:space="preserve">588,000</w:t>
            </w:r>
          </w:p>
        </w:tc>
      </w:tr>
      <w:tr>
        <w:tc>
          <w:tcPr/>
          <w:p>
            <w:pPr>
              <w:pStyle w:val="Compact"/>
              <w:jc w:val="left"/>
            </w:pPr>
            <w:r>
              <w:t xml:space="preserve">09</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590,400</w:t>
            </w:r>
          </w:p>
        </w:tc>
      </w:tr>
      <w:tr>
        <w:tc>
          <w:tcPr>
            <w:gridSpan w:val="4"/>
          </w:tcPr>
          <w:p>
            <w:pPr>
              <w:pStyle w:val="Compact"/>
              <w:jc w:val="left"/>
            </w:pPr>
            <w:r>
              <w:t xml:space="preserve">Subtotal (THB)</w:t>
            </w:r>
          </w:p>
        </w:tc>
        <w:tc>
          <w:tcPr/>
          <w:p>
            <w:pPr>
              <w:pStyle w:val="Compact"/>
              <w:jc w:val="left"/>
            </w:pPr>
            <w:r>
              <w:t xml:space="preserve">6,484,400</w:t>
            </w:r>
          </w:p>
        </w:tc>
      </w:tr>
      <w:tr>
        <w:tc>
          <w:tcPr>
            <w:gridSpan w:val="4"/>
          </w:tcPr>
          <w:p>
            <w:pPr>
              <w:pStyle w:val="Compact"/>
              <w:jc w:val="left"/>
            </w:pPr>
            <w:r>
              <w:t xml:space="preserve">VAT 7% (THB)</w:t>
            </w:r>
          </w:p>
        </w:tc>
        <w:tc>
          <w:tcPr/>
          <w:p>
            <w:pPr>
              <w:pStyle w:val="Compact"/>
              <w:jc w:val="left"/>
            </w:pPr>
            <w:r>
              <w:t xml:space="preserve">453,908</w:t>
            </w:r>
          </w:p>
        </w:tc>
      </w:tr>
      <w:tr>
        <w:tc>
          <w:tcPr>
            <w:gridSpan w:val="4"/>
          </w:tcPr>
          <w:p>
            <w:pPr>
              <w:pStyle w:val="Compact"/>
              <w:jc w:val="left"/>
            </w:pPr>
            <w:r>
              <w:t xml:space="preserve">Grand Total (THB)</w:t>
            </w:r>
          </w:p>
        </w:tc>
        <w:tc>
          <w:tcPr/>
          <w:p>
            <w:pPr>
              <w:pStyle w:val="Compact"/>
              <w:jc w:val="left"/>
            </w:pPr>
            <w:r>
              <w:t xml:space="preserve">6,938,308</w:t>
            </w:r>
          </w:p>
        </w:tc>
      </w:tr>
    </w:tbl>
    <w:p>
      <w:pPr>
        <w:pStyle w:val="BodyText"/>
      </w:pPr>
      <w:r>
        <w:t xml:space="preserve">* All monetary values are stated in Thai Baht (THB). The exchange rate reference at the time of this Quotation Estimate is approximately 1 USD = 36.50 THB. The equivalent total in USD is approximately USD 189,816.</w:t>
      </w:r>
    </w:p>
    <w:bookmarkEnd w:id="26"/>
    <w:bookmarkStart w:id="27" w:name="payment-schedule"/>
    <w:p>
      <w:pPr>
        <w:pStyle w:val="Heading2"/>
      </w:pPr>
      <w:r>
        <w:t xml:space="preserve">5.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Trigger Event</w:t>
            </w:r>
          </w:p>
        </w:tc>
        <w:tc>
          <w:tcPr/>
          <w:p>
            <w:pPr>
              <w:pStyle w:val="Compact"/>
              <w:jc w:val="left"/>
            </w:pPr>
            <w:r>
              <w:t xml:space="preserve">Percentage</w:t>
            </w:r>
          </w:p>
        </w:tc>
        <w:tc>
          <w:tcPr/>
          <w:p>
            <w:pPr>
              <w:pStyle w:val="Compact"/>
              <w:jc w:val="left"/>
            </w:pPr>
            <w:r>
              <w:t xml:space="preserve">Amount (THB)</w:t>
            </w:r>
          </w:p>
        </w:tc>
      </w:tr>
      <w:tr>
        <w:tc>
          <w:tcPr/>
          <w:p>
            <w:pPr>
              <w:pStyle w:val="Compact"/>
              <w:jc w:val="left"/>
            </w:pPr>
            <w:r>
              <w:t xml:space="preserve">Advance Payment</w:t>
            </w:r>
          </w:p>
        </w:tc>
        <w:tc>
          <w:tcPr/>
          <w:p>
            <w:pPr>
              <w:pStyle w:val="Compact"/>
              <w:jc w:val="left"/>
            </w:pPr>
            <w:r>
              <w:t xml:space="preserve">Upon signed acceptance of this Quotation Estimate</w:t>
            </w:r>
          </w:p>
        </w:tc>
        <w:tc>
          <w:tcPr/>
          <w:p>
            <w:pPr>
              <w:pStyle w:val="Compact"/>
              <w:jc w:val="left"/>
            </w:pPr>
            <w:r>
              <w:t xml:space="preserve">25%</w:t>
            </w:r>
          </w:p>
        </w:tc>
        <w:tc>
          <w:tcPr/>
          <w:p>
            <w:pPr>
              <w:pStyle w:val="Compact"/>
              <w:jc w:val="left"/>
            </w:pPr>
            <w:r>
              <w:t xml:space="preserve">1,734,577</w:t>
            </w:r>
          </w:p>
        </w:tc>
      </w:tr>
      <w:tr>
        <w:tc>
          <w:tcPr/>
          <w:p>
            <w:pPr>
              <w:pStyle w:val="Compact"/>
              <w:jc w:val="left"/>
            </w:pPr>
            <w:r>
              <w:t xml:space="preserve">Progress Payment 1</w:t>
            </w:r>
          </w:p>
        </w:tc>
        <w:tc>
          <w:tcPr/>
          <w:p>
            <w:pPr>
              <w:pStyle w:val="Compact"/>
              <w:jc w:val="left"/>
            </w:pPr>
            <w:r>
              <w:t xml:space="preserve">IRB approval &amp; commencement of recruitment</w:t>
            </w:r>
          </w:p>
        </w:tc>
        <w:tc>
          <w:tcPr/>
          <w:p>
            <w:pPr>
              <w:pStyle w:val="Compact"/>
              <w:jc w:val="left"/>
            </w:pPr>
            <w:r>
              <w:t xml:space="preserve">25%</w:t>
            </w:r>
          </w:p>
        </w:tc>
        <w:tc>
          <w:tcPr/>
          <w:p>
            <w:pPr>
              <w:pStyle w:val="Compact"/>
              <w:jc w:val="left"/>
            </w:pPr>
            <w:r>
              <w:t xml:space="preserve">1,734,577</w:t>
            </w:r>
          </w:p>
        </w:tc>
      </w:tr>
      <w:tr>
        <w:tc>
          <w:tcPr/>
          <w:p>
            <w:pPr>
              <w:pStyle w:val="Compact"/>
              <w:jc w:val="left"/>
            </w:pPr>
            <w:r>
              <w:t xml:space="preserve">Progress Payment 2</w:t>
            </w:r>
          </w:p>
        </w:tc>
        <w:tc>
          <w:tcPr/>
          <w:p>
            <w:pPr>
              <w:pStyle w:val="Compact"/>
              <w:jc w:val="left"/>
            </w:pPr>
            <w:r>
              <w:t xml:space="preserve">Completion of 6-month data collection</w:t>
            </w:r>
          </w:p>
        </w:tc>
        <w:tc>
          <w:tcPr/>
          <w:p>
            <w:pPr>
              <w:pStyle w:val="Compact"/>
              <w:jc w:val="left"/>
            </w:pPr>
            <w:r>
              <w:t xml:space="preserve">25%</w:t>
            </w:r>
          </w:p>
        </w:tc>
        <w:tc>
          <w:tcPr/>
          <w:p>
            <w:pPr>
              <w:pStyle w:val="Compact"/>
              <w:jc w:val="left"/>
            </w:pPr>
            <w:r>
              <w:t xml:space="preserve">1,734,577</w:t>
            </w:r>
          </w:p>
        </w:tc>
      </w:tr>
      <w:tr>
        <w:tc>
          <w:tcPr/>
          <w:p>
            <w:pPr>
              <w:pStyle w:val="Compact"/>
              <w:jc w:val="left"/>
            </w:pPr>
            <w:r>
              <w:t xml:space="preserve">Final Payment</w:t>
            </w:r>
          </w:p>
        </w:tc>
        <w:tc>
          <w:tcPr/>
          <w:p>
            <w:pPr>
              <w:pStyle w:val="Compact"/>
              <w:jc w:val="left"/>
            </w:pPr>
            <w:r>
              <w:t xml:space="preserve">Delivery of final report &amp; manuscript</w:t>
            </w:r>
          </w:p>
        </w:tc>
        <w:tc>
          <w:tcPr/>
          <w:p>
            <w:pPr>
              <w:pStyle w:val="Compact"/>
              <w:jc w:val="left"/>
            </w:pPr>
            <w:r>
              <w:t xml:space="preserve">25%</w:t>
            </w:r>
          </w:p>
        </w:tc>
        <w:tc>
          <w:tcPr/>
          <w:p>
            <w:pPr>
              <w:pStyle w:val="Compact"/>
              <w:jc w:val="left"/>
            </w:pPr>
            <w:r>
              <w:t xml:space="preserve">1,734,577</w:t>
            </w:r>
          </w:p>
        </w:tc>
      </w:tr>
    </w:tbl>
    <w:bookmarkEnd w:id="27"/>
    <w:bookmarkStart w:id="28" w:name="terms-and-conditions"/>
    <w:p>
      <w:pPr>
        <w:pStyle w:val="Heading2"/>
      </w:pPr>
      <w:r>
        <w:t xml:space="preserve">6.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validity period will require a revised</w:t>
      </w:r>
      <w:r>
        <w:t xml:space="preserve"> </w:t>
      </w:r>
      <w:r>
        <w:t xml:space="preserve">Quotation Estimate</w:t>
      </w:r>
      <w:r>
        <w:t xml:space="preserve"> </w:t>
      </w:r>
      <w:r>
        <w:t xml:space="preserve">reflecting current market rates in</w:t>
      </w:r>
      <w:r>
        <w:t xml:space="preserve"> </w:t>
      </w:r>
      <w:r>
        <w:t xml:space="preserve">Thailand Bangkok</w:t>
      </w:r>
      <w:r>
        <w:t xml:space="preserve">.</w:t>
      </w:r>
    </w:p>
    <w:p>
      <w:pPr>
        <w:numPr>
          <w:ilvl w:val="0"/>
          <w:numId w:val="1002"/>
        </w:numPr>
        <w:pStyle w:val="Compact"/>
      </w:pPr>
      <w:r>
        <w:t xml:space="preserve">The</w:t>
      </w:r>
      <w:r>
        <w:t xml:space="preserve"> </w:t>
      </w:r>
      <w:r>
        <w:t xml:space="preserve">Medical Researcher</w:t>
      </w:r>
      <w:r>
        <w:t xml:space="preserve"> </w:t>
      </w:r>
      <w:r>
        <w:t xml:space="preserve">assigned to this project shall hold a minimum of an MD degree with a PhD in Clinical Research or a related biomedical discipline, and must possess at least eight (8) years of post-doctoral research experience in human subjects studies conducted in Thailand.</w:t>
      </w:r>
    </w:p>
    <w:p>
      <w:pPr>
        <w:numPr>
          <w:ilvl w:val="0"/>
          <w:numId w:val="1002"/>
        </w:numPr>
        <w:pStyle w:val="Compact"/>
      </w:pPr>
      <w:r>
        <w:t xml:space="preserve">All research activities will be conducted in strict adherence to the Thai Medical Research Act B.E. 2550 (2007), the NRCT guidelines, and the client's internal research ethics policies. The</w:t>
      </w:r>
      <w:r>
        <w:t xml:space="preserve"> </w:t>
      </w:r>
      <w:r>
        <w:t xml:space="preserve">Medical Researcher</w:t>
      </w:r>
      <w:r>
        <w:t xml:space="preserve"> </w:t>
      </w:r>
      <w:r>
        <w:t xml:space="preserve">is responsible for obtaining and maintaining all necessary permits and ethical clearances specific to the</w:t>
      </w:r>
      <w:r>
        <w:t xml:space="preserve"> </w:t>
      </w:r>
      <w:r>
        <w:t xml:space="preserve">Thailand Bangkok</w:t>
      </w:r>
      <w:r>
        <w:t xml:space="preserve"> </w:t>
      </w:r>
      <w:r>
        <w:t xml:space="preserve">jurisdiction.</w:t>
      </w:r>
    </w:p>
    <w:p>
      <w:pPr>
        <w:numPr>
          <w:ilvl w:val="0"/>
          <w:numId w:val="1002"/>
        </w:numPr>
        <w:pStyle w:val="Compact"/>
      </w:pPr>
      <w:r>
        <w:t xml:space="preserve">Intellectual property (IP) arising from this engagement shall be jointly owned by both parties, as stipulated in the separate Research Collaboration Agreement to be executed concurrently with the acceptance of this</w:t>
      </w:r>
      <w:r>
        <w:t xml:space="preserve"> </w:t>
      </w:r>
      <w:r>
        <w:t xml:space="preserve">Quotation Estimate</w:t>
      </w:r>
      <w:r>
        <w:t xml:space="preserve">.</w:t>
      </w:r>
    </w:p>
    <w:p>
      <w:pPr>
        <w:numPr>
          <w:ilvl w:val="0"/>
          <w:numId w:val="1002"/>
        </w:numPr>
        <w:pStyle w:val="Compact"/>
      </w:pPr>
      <w:r>
        <w:t xml:space="preserve">Confidentiality: All participant data, proprietary methodologies, and unpublished findings are subject to a mutual Non-Disclosure Agreement (NDA). The</w:t>
      </w:r>
      <w:r>
        <w:t xml:space="preserve"> </w:t>
      </w:r>
      <w:r>
        <w:t xml:space="preserve">Medical Researcher</w:t>
      </w:r>
      <w:r>
        <w:t xml:space="preserve"> </w:t>
      </w:r>
      <w:r>
        <w:t xml:space="preserve">shall not disclose any client-specific information to third parties without prior written consent.</w:t>
      </w:r>
    </w:p>
    <w:p>
      <w:pPr>
        <w:numPr>
          <w:ilvl w:val="0"/>
          <w:numId w:val="1002"/>
        </w:numPr>
        <w:pStyle w:val="Compact"/>
      </w:pPr>
      <w:r>
        <w:t xml:space="preserve">Force Majeure: Neither party shall be liable for delays or non-performance caused by events beyond reasonable control, including but not limited to natural disasters, government-mandated lockdowns in</w:t>
      </w:r>
      <w:r>
        <w:t xml:space="preserve"> </w:t>
      </w:r>
      <w:r>
        <w:t xml:space="preserve">Thailand Bangkok</w:t>
      </w:r>
      <w:r>
        <w:t xml:space="preserve">, pandemics, or regulatory changes issued by the Thai Ministry of Public Health.</w:t>
      </w:r>
    </w:p>
    <w:p>
      <w:pPr>
        <w:numPr>
          <w:ilvl w:val="0"/>
          <w:numId w:val="1002"/>
        </w:numPr>
        <w:pStyle w:val="Compact"/>
      </w:pPr>
      <w:r>
        <w:t xml:space="preserve">Dispute Resolution: Any disputes arising from this</w:t>
      </w:r>
      <w:r>
        <w:t xml:space="preserve"> </w:t>
      </w:r>
      <w:r>
        <w:t xml:space="preserve">Quotation Estimate</w:t>
      </w:r>
      <w:r>
        <w:t xml:space="preserve"> </w:t>
      </w:r>
      <w:r>
        <w:t xml:space="preserve">or the subsequent service agreement shall be resolved through mediation in Bangkok, Thailand, in accordance with the rules of the Thai Arbitration Institute. If mediation fails, the matter shall be referred to the competent courts of Bangkok.</w:t>
      </w:r>
    </w:p>
    <w:p>
      <w:pPr>
        <w:numPr>
          <w:ilvl w:val="0"/>
          <w:numId w:val="1002"/>
        </w:numPr>
        <w:pStyle w:val="Compact"/>
      </w:pPr>
      <w:r>
        <w:t xml:space="preserve">Termination: Either party may terminate the engagement with thirty (30) days' written notice. In the event of early termination, the client shall pay for all services rendered up to the termination date, plus a 10% administrative fee on the remaining contracted value.</w:t>
      </w:r>
    </w:p>
    <w:bookmarkEnd w:id="28"/>
    <w:bookmarkStart w:id="29" w:name="acceptance-and-authorization"/>
    <w:p>
      <w:pPr>
        <w:pStyle w:val="Heading2"/>
      </w:pPr>
      <w:r>
        <w:t xml:space="preserve">7. Acceptance and Authorization</w:t>
      </w:r>
    </w:p>
    <w:p>
      <w:pPr>
        <w:pStyle w:val="FirstParagraph"/>
      </w:pPr>
      <w:r>
        <w:t xml:space="preserve">By signing below, the client acknowledges that this</w:t>
      </w:r>
      <w:r>
        <w:t xml:space="preserve"> </w:t>
      </w:r>
      <w:r>
        <w:t xml:space="preserve">Quotation Estimate</w:t>
      </w:r>
      <w:r>
        <w:t xml:space="preserve"> </w:t>
      </w:r>
      <w:r>
        <w:t xml:space="preserve">accurately represents the scope, cost, and terms for the engagement of the</w:t>
      </w:r>
      <w:r>
        <w:t xml:space="preserve"> </w:t>
      </w:r>
      <w:r>
        <w:t xml:space="preserve">Medical Researcher</w:t>
      </w:r>
      <w:r>
        <w:t xml:space="preserve"> </w:t>
      </w:r>
      <w:r>
        <w:t xml:space="preserve">for the described research project in</w:t>
      </w:r>
      <w:r>
        <w:t xml:space="preserve"> </w:t>
      </w:r>
      <w:r>
        <w:t xml:space="preserve">Thailand Bangkok</w:t>
      </w:r>
      <w:r>
        <w:t xml:space="preserve">. The client agrees to the payment schedule, intellectual property provisions, and all conditions outlined herein.</w:t>
      </w:r>
    </w:p>
    <w:p>
      <w:pPr>
        <w:pStyle w:val="BodyText"/>
      </w:pPr>
      <w:r>
        <w:rPr>
          <w:bCs/>
          <w:b/>
        </w:rPr>
        <w:t xml:space="preserve">For and on behalf of SiamMed Research Consulting Co., Ltd.</w:t>
      </w:r>
    </w:p>
    <w:p>
      <w:pPr>
        <w:pStyle w:val="BodyText"/>
      </w:pPr>
      <w:r>
        <w:t xml:space="preserve">Name: Dr. Ananya Prasert</w:t>
      </w:r>
    </w:p>
    <w:p>
      <w:pPr>
        <w:pStyle w:val="BodyText"/>
      </w:pPr>
      <w:r>
        <w:t xml:space="preserve">Title: Senior Medical Researcher &amp; Lead Consultant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Chulalongkorn Biomedical Innovation Centre</w:t>
      </w:r>
    </w:p>
    <w:p>
      <w:pPr>
        <w:pStyle w:val="BodyText"/>
      </w:pPr>
      <w:r>
        <w:t xml:space="preserve">Name: Prof. Dr. Somchai Wongsawat</w:t>
      </w:r>
    </w:p>
    <w:p>
      <w:pPr>
        <w:pStyle w:val="BodyText"/>
      </w:pPr>
      <w:r>
        <w:t xml:space="preserve">Title: Director, Clinical Research Division</w:t>
      </w:r>
    </w:p>
    <w:p>
      <w:pPr>
        <w:pStyle w:val="BodyText"/>
      </w:pPr>
      <w:r>
        <w:t xml:space="preserve">Signature: ___________________________</w:t>
      </w:r>
    </w:p>
    <w:p>
      <w:pPr>
        <w:pStyle w:val="BodyText"/>
      </w:pPr>
      <w:r>
        <w:t xml:space="preserve">Date: ___________________________</w:t>
      </w:r>
    </w:p>
    <w:bookmarkEnd w:id="29"/>
    <w:p>
      <w:pPr>
        <w:pStyle w:val="BodyText"/>
      </w:pPr>
      <w:r>
        <w:t xml:space="preserve">This Quotation Estimate document was prepared by SiamMed Research Consulting Co., Ltd., Bangkok, Thailand. All rights reserved. © 2025.</w:t>
      </w:r>
    </w:p>
    <w:p>
      <w:pPr>
        <w:pStyle w:val="BodyText"/>
      </w:pPr>
      <w:r>
        <w:t xml:space="preserve">Page 1 of 1 | Quotation Estimate Ref: QTE-2025-BKK-0472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Thailand Bangkok</dc:title>
  <dc:creator/>
  <dc:language>en</dc:language>
  <cp:keywords/>
  <dcterms:created xsi:type="dcterms:W3CDTF">2026-10-10T02:03:15Z</dcterms:created>
  <dcterms:modified xsi:type="dcterms:W3CDTF">2026-10-10T02:03:15Z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