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MedResearch Gulf FZ-LLC</w:t>
      </w:r>
    </w:p>
    <w:p>
      <w:pPr>
        <w:pStyle w:val="BodyText"/>
      </w:pPr>
      <w:r>
        <w:t xml:space="preserve">Office 412, Al Reem Island Business Bay, United Arab Emirates Abu Dhabi</w:t>
      </w:r>
    </w:p>
    <w:p>
      <w:pPr>
        <w:pStyle w:val="BodyText"/>
      </w:pPr>
      <w:r>
        <w:t xml:space="preserve">Tel: +971-2-555-0147 | Email: quotations@medresearchgulf.ae</w:t>
      </w:r>
    </w:p>
    <w:p>
      <w:pPr>
        <w:pStyle w:val="BodyText"/>
      </w:pPr>
      <w:r>
        <w:t xml:space="preserve">Trade License No: 104872 | CR: 2019-44782</w:t>
      </w:r>
    </w:p>
    <w:bookmarkEnd w:id="20"/>
    <w:p>
      <w:pPr>
        <w:pStyle w:val="BodyText"/>
      </w:pPr>
      <w:r>
        <w:rPr>
          <w:bCs/>
          <w:b/>
        </w:rPr>
        <w:t xml:space="preserve">Quotation No:</w:t>
      </w:r>
      <w:r>
        <w:t xml:space="preserve"> </w:t>
      </w:r>
      <w:r>
        <w:t xml:space="preserve">QTE-2025-ABH-0387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Tawjeeh Medical Research Institute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MedResearch Gulf FZ-LLC to Tawjeeh Medical Research Institute, located in the United Arab Emirates Abu Dhabi, for the engagement of a qualified</w:t>
      </w:r>
      <w:r>
        <w:t xml:space="preserve"> </w:t>
      </w:r>
      <w:r>
        <w:t xml:space="preserve">Medical Researcher</w:t>
      </w:r>
      <w:r>
        <w:t xml:space="preserve"> </w:t>
      </w:r>
      <w:r>
        <w:t xml:space="preserve">to support ongoing clinical and translational research programmes. This document outlines the scope of services, associated costs, deliverables, and contractual terms governing the proposed engagement. All pricing is presented in United Arab Emirates Dirhams (AED) and is subject to the regulatory framework of the Abu Dhabi Department of Health (DoH) and the Abu Dhabi Health Services Company (SEHA) compliance standards.</w:t>
      </w:r>
    </w:p>
    <w:bookmarkEnd w:id="21"/>
    <w:bookmarkStart w:id="22" w:name="Xb1e69cda2657fb3522d5f06f68500be55311324"/>
    <w:p>
      <w:pPr>
        <w:pStyle w:val="Heading2"/>
      </w:pPr>
      <w:r>
        <w:t xml:space="preserve">2. Scope of Services – Medical Researcher Engagement</w:t>
      </w:r>
    </w:p>
    <w:p>
      <w:pPr>
        <w:pStyle w:val="FirstParagraph"/>
      </w:pPr>
      <w:r>
        <w:t xml:space="preserve">The proposed</w:t>
      </w:r>
      <w:r>
        <w:t xml:space="preserve"> </w:t>
      </w:r>
      <w:r>
        <w:t xml:space="preserve">Medical Researcher</w:t>
      </w:r>
      <w:r>
        <w:t xml:space="preserve"> </w:t>
      </w:r>
      <w:r>
        <w:t xml:space="preserve">will be a board-certified specialist with a minimum of eight (8) years of post-doctoral experience in clinical pharmacology, epidemiology, or biomedical sciences. The scope of work includes, but is not limited to, the following activities conducted within the United Arab Emirates Abu Dhabi jurisdiction:</w:t>
      </w:r>
    </w:p>
    <w:p>
      <w:pPr>
        <w:numPr>
          <w:ilvl w:val="0"/>
          <w:numId w:val="1001"/>
        </w:numPr>
        <w:pStyle w:val="Compact"/>
      </w:pPr>
      <w:r>
        <w:t xml:space="preserve">Design and execution of Phase I and Phase II clinical trial protocols in compliance with the UAE Federal Law No. 2 of 2017 on Human Rights and the Abu Dhabi DoH Research Ethics Committee (REC) guidelines.</w:t>
      </w:r>
    </w:p>
    <w:p>
      <w:pPr>
        <w:numPr>
          <w:ilvl w:val="0"/>
          <w:numId w:val="1001"/>
        </w:numPr>
        <w:pStyle w:val="Compact"/>
      </w:pPr>
      <w:r>
        <w:t xml:space="preserve">Conducting systematic literature reviews, meta-analyses, and biostatistical modelling for published and unpublished research datasets.</w:t>
      </w:r>
    </w:p>
    <w:p>
      <w:pPr>
        <w:numPr>
          <w:ilvl w:val="0"/>
          <w:numId w:val="1001"/>
        </w:numPr>
        <w:pStyle w:val="Compact"/>
      </w:pPr>
      <w:r>
        <w:t xml:space="preserve">Supervising junior research assistants and laboratory technicians at the designated research facility in Al Reem Island, Abu Dhabi.</w:t>
      </w:r>
    </w:p>
    <w:p>
      <w:pPr>
        <w:numPr>
          <w:ilvl w:val="0"/>
          <w:numId w:val="1001"/>
        </w:numPr>
        <w:pStyle w:val="Compact"/>
      </w:pPr>
      <w:r>
        <w:t xml:space="preserve">Preparing and submitting research manuscripts to peer-reviewed journals indexed in PubMed, Scopus, and Web of Science.</w:t>
      </w:r>
    </w:p>
    <w:p>
      <w:pPr>
        <w:numPr>
          <w:ilvl w:val="0"/>
          <w:numId w:val="1001"/>
        </w:numPr>
        <w:pStyle w:val="Compact"/>
      </w:pPr>
      <w:r>
        <w:t xml:space="preserve">Coordinating with the Abu Dhabi Clinical Trials Registry and ensuring all data collection adheres to the UAE Data Protection Law (Federal Decree-Law No. 45 of 2021).</w:t>
      </w:r>
    </w:p>
    <w:p>
      <w:pPr>
        <w:numPr>
          <w:ilvl w:val="0"/>
          <w:numId w:val="1001"/>
        </w:numPr>
        <w:pStyle w:val="Compact"/>
      </w:pPr>
      <w:r>
        <w:t xml:space="preserve">Attending quarterly research governance meetings hosted by the Abu Dhabi Health Authority and presenting interim findings to institutional review boards.</w:t>
      </w:r>
    </w:p>
    <w:p>
      <w:pPr>
        <w:numPr>
          <w:ilvl w:val="0"/>
          <w:numId w:val="1001"/>
        </w:numPr>
        <w:pStyle w:val="Compact"/>
      </w:pPr>
      <w:r>
        <w:t xml:space="preserve">Maintaining Good Clinical Practice (GCP) documentation and ensuring full traceability of all research artefacts stored in the Abu Dhabi facility.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(AED)</w:t>
            </w:r>
          </w:p>
        </w:tc>
        <w:tc>
          <w:tcPr/>
          <w:p>
            <w:pPr>
              <w:pStyle w:val="Compact"/>
              <w:jc w:val="left"/>
            </w:pPr>
            <w:r>
              <w:t xml:space="preserve">Quantity</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Medical Researcher – Monthly Professional Fee (full-time, 40 hrs/week)</w:t>
            </w:r>
          </w:p>
        </w:tc>
        <w:tc>
          <w:tcPr/>
          <w:p>
            <w:pPr>
              <w:pStyle w:val="Compact"/>
              <w:jc w:val="left"/>
            </w:pPr>
            <w:r>
              <w:t xml:space="preserve">12 months</w:t>
            </w:r>
          </w:p>
        </w:tc>
        <w:tc>
          <w:tcPr/>
          <w:p>
            <w:pPr>
              <w:pStyle w:val="Compact"/>
              <w:jc w:val="left"/>
            </w:pPr>
            <w:r>
              <w:t xml:space="preserve">48,500</w:t>
            </w:r>
          </w:p>
        </w:tc>
        <w:tc>
          <w:tcPr/>
          <w:p>
            <w:pPr>
              <w:pStyle w:val="Compact"/>
              <w:jc w:val="left"/>
            </w:pPr>
            <w:r>
              <w:t xml:space="preserve">12</w:t>
            </w:r>
          </w:p>
        </w:tc>
        <w:tc>
          <w:tcPr/>
          <w:p>
            <w:pPr>
              <w:pStyle w:val="Compact"/>
              <w:jc w:val="left"/>
            </w:pPr>
            <w:r>
              <w:t xml:space="preserve">582,000</w:t>
            </w:r>
          </w:p>
        </w:tc>
      </w:tr>
      <w:tr>
        <w:tc>
          <w:tcPr/>
          <w:p>
            <w:pPr>
              <w:pStyle w:val="Compact"/>
              <w:jc w:val="left"/>
            </w:pPr>
            <w:r>
              <w:t xml:space="preserve">02</w:t>
            </w:r>
          </w:p>
        </w:tc>
        <w:tc>
          <w:tcPr/>
          <w:p>
            <w:pPr>
              <w:pStyle w:val="Compact"/>
              <w:jc w:val="left"/>
            </w:pPr>
            <w:r>
              <w:t xml:space="preserve">Research Ethics Committee (REC) Submission &amp; Approval Fees – Abu Dhabi DoH</w:t>
            </w:r>
          </w:p>
        </w:tc>
        <w:tc>
          <w:tcPr/>
          <w:p>
            <w:pPr>
              <w:pStyle w:val="Compact"/>
              <w:jc w:val="left"/>
            </w:pPr>
            <w:r>
              <w:t xml:space="preserve">Per protocol</w:t>
            </w:r>
          </w:p>
        </w:tc>
        <w:tc>
          <w:tcPr/>
          <w:p>
            <w:pPr>
              <w:pStyle w:val="Compact"/>
              <w:jc w:val="left"/>
            </w:pPr>
            <w:r>
              <w:t xml:space="preserve">12,000</w:t>
            </w:r>
          </w:p>
        </w:tc>
        <w:tc>
          <w:tcPr/>
          <w:p>
            <w:pPr>
              <w:pStyle w:val="Compact"/>
              <w:jc w:val="left"/>
            </w:pPr>
            <w:r>
              <w:t xml:space="preserve">3</w:t>
            </w:r>
          </w:p>
        </w:tc>
        <w:tc>
          <w:tcPr/>
          <w:p>
            <w:pPr>
              <w:pStyle w:val="Compact"/>
              <w:jc w:val="left"/>
            </w:pPr>
            <w:r>
              <w:t xml:space="preserve">36,000</w:t>
            </w:r>
          </w:p>
        </w:tc>
      </w:tr>
      <w:tr>
        <w:tc>
          <w:tcPr/>
          <w:p>
            <w:pPr>
              <w:pStyle w:val="Compact"/>
              <w:jc w:val="left"/>
            </w:pPr>
            <w:r>
              <w:t xml:space="preserve">03</w:t>
            </w:r>
          </w:p>
        </w:tc>
        <w:tc>
          <w:tcPr/>
          <w:p>
            <w:pPr>
              <w:pStyle w:val="Compact"/>
              <w:jc w:val="left"/>
            </w:pPr>
            <w:r>
              <w:t xml:space="preserve">Biostatistical Software Licensing (SPSS, R, SAS) – Annual</w:t>
            </w:r>
          </w:p>
        </w:tc>
        <w:tc>
          <w:tcPr/>
          <w:p>
            <w:pPr>
              <w:pStyle w:val="Compact"/>
              <w:jc w:val="left"/>
            </w:pPr>
            <w:r>
              <w:t xml:space="preserve">12 months</w:t>
            </w:r>
          </w:p>
        </w:tc>
        <w:tc>
          <w:tcPr/>
          <w:p>
            <w:pPr>
              <w:pStyle w:val="Compact"/>
              <w:jc w:val="left"/>
            </w:pPr>
            <w:r>
              <w:t xml:space="preserve">18,750</w:t>
            </w:r>
          </w:p>
        </w:tc>
        <w:tc>
          <w:tcPr/>
          <w:p>
            <w:pPr>
              <w:pStyle w:val="Compact"/>
              <w:jc w:val="left"/>
            </w:pPr>
            <w:r>
              <w:t xml:space="preserve">1</w:t>
            </w:r>
          </w:p>
        </w:tc>
        <w:tc>
          <w:tcPr/>
          <w:p>
            <w:pPr>
              <w:pStyle w:val="Compact"/>
              <w:jc w:val="left"/>
            </w:pPr>
            <w:r>
              <w:t xml:space="preserve">18,750</w:t>
            </w:r>
          </w:p>
        </w:tc>
      </w:tr>
      <w:tr>
        <w:tc>
          <w:tcPr/>
          <w:p>
            <w:pPr>
              <w:pStyle w:val="Compact"/>
              <w:jc w:val="left"/>
            </w:pPr>
            <w:r>
              <w:t xml:space="preserve">04</w:t>
            </w:r>
          </w:p>
        </w:tc>
        <w:tc>
          <w:tcPr/>
          <w:p>
            <w:pPr>
              <w:pStyle w:val="Compact"/>
              <w:jc w:val="left"/>
            </w:pPr>
            <w:r>
              <w:t xml:space="preserve">Laboratory Consumables &amp; Reagents (allocated to Medical Researcher)</w:t>
            </w:r>
          </w:p>
        </w:tc>
        <w:tc>
          <w:tcPr/>
          <w:p>
            <w:pPr>
              <w:pStyle w:val="Compact"/>
              <w:jc w:val="left"/>
            </w:pPr>
            <w:r>
              <w:t xml:space="preserve">12 months</w:t>
            </w:r>
          </w:p>
        </w:tc>
        <w:tc>
          <w:tcPr/>
          <w:p>
            <w:pPr>
              <w:pStyle w:val="Compact"/>
              <w:jc w:val="left"/>
            </w:pPr>
            <w:r>
              <w:t xml:space="preserve">22,400</w:t>
            </w:r>
          </w:p>
        </w:tc>
        <w:tc>
          <w:tcPr/>
          <w:p>
            <w:pPr>
              <w:pStyle w:val="Compact"/>
              <w:jc w:val="left"/>
            </w:pPr>
            <w:r>
              <w:t xml:space="preserve">1</w:t>
            </w:r>
          </w:p>
        </w:tc>
        <w:tc>
          <w:tcPr/>
          <w:p>
            <w:pPr>
              <w:pStyle w:val="Compact"/>
              <w:jc w:val="left"/>
            </w:pPr>
            <w:r>
              <w:t xml:space="preserve">22,400</w:t>
            </w:r>
          </w:p>
        </w:tc>
      </w:tr>
      <w:tr>
        <w:tc>
          <w:tcPr/>
          <w:p>
            <w:pPr>
              <w:pStyle w:val="Compact"/>
              <w:jc w:val="left"/>
            </w:pPr>
            <w:r>
              <w:t xml:space="preserve">05</w:t>
            </w:r>
          </w:p>
        </w:tc>
        <w:tc>
          <w:tcPr/>
          <w:p>
            <w:pPr>
              <w:pStyle w:val="Compact"/>
              <w:jc w:val="left"/>
            </w:pPr>
            <w:r>
              <w:t xml:space="preserve">Publication Support – Open Access Journal Fees (up to 4 papers)</w:t>
            </w:r>
          </w:p>
        </w:tc>
        <w:tc>
          <w:tcPr/>
          <w:p>
            <w:pPr>
              <w:pStyle w:val="Compact"/>
              <w:jc w:val="left"/>
            </w:pPr>
            <w:r>
              <w:t xml:space="preserve">Per paper</w:t>
            </w:r>
          </w:p>
        </w:tc>
        <w:tc>
          <w:tcPr/>
          <w:p>
            <w:pPr>
              <w:pStyle w:val="Compact"/>
              <w:jc w:val="left"/>
            </w:pPr>
            <w:r>
              <w:t xml:space="preserve">9,500</w:t>
            </w:r>
          </w:p>
        </w:tc>
        <w:tc>
          <w:tcPr/>
          <w:p>
            <w:pPr>
              <w:pStyle w:val="Compact"/>
              <w:jc w:val="left"/>
            </w:pPr>
            <w:r>
              <w:t xml:space="preserve">4</w:t>
            </w:r>
          </w:p>
        </w:tc>
        <w:tc>
          <w:tcPr/>
          <w:p>
            <w:pPr>
              <w:pStyle w:val="Compact"/>
              <w:jc w:val="left"/>
            </w:pPr>
            <w:r>
              <w:t xml:space="preserve">38,000</w:t>
            </w:r>
          </w:p>
        </w:tc>
      </w:tr>
      <w:tr>
        <w:tc>
          <w:tcPr/>
          <w:p>
            <w:pPr>
              <w:pStyle w:val="Compact"/>
              <w:jc w:val="left"/>
            </w:pPr>
            <w:r>
              <w:t xml:space="preserve">06</w:t>
            </w:r>
          </w:p>
        </w:tc>
        <w:tc>
          <w:tcPr/>
          <w:p>
            <w:pPr>
              <w:pStyle w:val="Compact"/>
              <w:jc w:val="left"/>
            </w:pPr>
            <w:r>
              <w:t xml:space="preserve">Visa, Medical Fitness &amp; Emirates ID Processing (UAE Abu Dhabi)</w:t>
            </w:r>
          </w:p>
        </w:tc>
        <w:tc>
          <w:tcPr/>
          <w:p>
            <w:pPr>
              <w:pStyle w:val="Compact"/>
              <w:jc w:val="left"/>
            </w:pPr>
            <w:r>
              <w:t xml:space="preserve">One-time</w:t>
            </w:r>
          </w:p>
        </w:tc>
        <w:tc>
          <w:tcPr/>
          <w:p>
            <w:pPr>
              <w:pStyle w:val="Compact"/>
              <w:jc w:val="left"/>
            </w:pPr>
            <w:r>
              <w:t xml:space="preserve">7,800</w:t>
            </w:r>
          </w:p>
        </w:tc>
        <w:tc>
          <w:tcPr/>
          <w:p>
            <w:pPr>
              <w:pStyle w:val="Compact"/>
              <w:jc w:val="left"/>
            </w:pPr>
            <w:r>
              <w:t xml:space="preserve">1</w:t>
            </w:r>
          </w:p>
        </w:tc>
        <w:tc>
          <w:tcPr/>
          <w:p>
            <w:pPr>
              <w:pStyle w:val="Compact"/>
              <w:jc w:val="left"/>
            </w:pPr>
            <w:r>
              <w:t xml:space="preserve">7,800</w:t>
            </w:r>
          </w:p>
        </w:tc>
      </w:tr>
      <w:tr>
        <w:tc>
          <w:tcPr/>
          <w:p>
            <w:pPr>
              <w:pStyle w:val="Compact"/>
              <w:jc w:val="left"/>
            </w:pPr>
            <w:r>
              <w:t xml:space="preserve">07</w:t>
            </w:r>
          </w:p>
        </w:tc>
        <w:tc>
          <w:tcPr/>
          <w:p>
            <w:pPr>
              <w:pStyle w:val="Compact"/>
              <w:jc w:val="left"/>
            </w:pPr>
            <w:r>
              <w:t xml:space="preserve">Professional Indemnity Insurance – UAE Regulated</w:t>
            </w:r>
          </w:p>
        </w:tc>
        <w:tc>
          <w:tcPr/>
          <w:p>
            <w:pPr>
              <w:pStyle w:val="Compact"/>
              <w:jc w:val="left"/>
            </w:pPr>
            <w:r>
              <w:t xml:space="preserve">12 months</w:t>
            </w:r>
          </w:p>
        </w:tc>
        <w:tc>
          <w:tcPr/>
          <w:p>
            <w:pPr>
              <w:pStyle w:val="Compact"/>
              <w:jc w:val="left"/>
            </w:pPr>
            <w:r>
              <w:t xml:space="preserve">14,200</w:t>
            </w:r>
          </w:p>
        </w:tc>
        <w:tc>
          <w:tcPr/>
          <w:p>
            <w:pPr>
              <w:pStyle w:val="Compact"/>
              <w:jc w:val="left"/>
            </w:pPr>
            <w:r>
              <w:t xml:space="preserve">1</w:t>
            </w:r>
          </w:p>
        </w:tc>
        <w:tc>
          <w:tcPr/>
          <w:p>
            <w:pPr>
              <w:pStyle w:val="Compact"/>
              <w:jc w:val="left"/>
            </w:pPr>
            <w:r>
              <w:t xml:space="preserve">14,200</w:t>
            </w:r>
          </w:p>
        </w:tc>
      </w:tr>
      <w:tr>
        <w:tc>
          <w:tcPr/>
          <w:p>
            <w:pPr>
              <w:pStyle w:val="Compact"/>
              <w:jc w:val="left"/>
            </w:pPr>
            <w:r>
              <w:t xml:space="preserve">08</w:t>
            </w:r>
          </w:p>
        </w:tc>
        <w:tc>
          <w:tcPr/>
          <w:p>
            <w:pPr>
              <w:pStyle w:val="Compact"/>
              <w:jc w:val="left"/>
            </w:pPr>
            <w:r>
              <w:t xml:space="preserve">Administrative &amp; Project Management Overhead (8%)</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w:t>
            </w:r>
          </w:p>
        </w:tc>
        <w:tc>
          <w:tcPr/>
          <w:p>
            <w:pPr>
              <w:pStyle w:val="Compact"/>
              <w:jc w:val="left"/>
            </w:pPr>
            <w:r>
              <w:t xml:space="preserve">61,696</w:t>
            </w:r>
          </w:p>
        </w:tc>
      </w:tr>
      <w:tr>
        <w:tc>
          <w:tcPr>
            <w:gridSpan w:val="5"/>
          </w:tcPr>
          <w:p>
            <w:pPr>
              <w:pStyle w:val="Compact"/>
              <w:jc w:val="left"/>
            </w:pPr>
            <w:r>
              <w:t xml:space="preserve">Subtotal (AED)</w:t>
            </w:r>
          </w:p>
        </w:tc>
        <w:tc>
          <w:tcPr/>
          <w:p>
            <w:pPr>
              <w:pStyle w:val="Compact"/>
              <w:jc w:val="left"/>
            </w:pPr>
            <w:r>
              <w:t xml:space="preserve">780,846</w:t>
            </w:r>
          </w:p>
        </w:tc>
      </w:tr>
      <w:tr>
        <w:tc>
          <w:tcPr>
            <w:gridSpan w:val="5"/>
          </w:tcPr>
          <w:p>
            <w:pPr>
              <w:pStyle w:val="Compact"/>
              <w:jc w:val="left"/>
            </w:pPr>
            <w:r>
              <w:t xml:space="preserve">VAT @ 5% (UAE Federal Tax Authority)</w:t>
            </w:r>
          </w:p>
        </w:tc>
        <w:tc>
          <w:tcPr/>
          <w:p>
            <w:pPr>
              <w:pStyle w:val="Compact"/>
              <w:jc w:val="left"/>
            </w:pPr>
            <w:r>
              <w:t xml:space="preserve">39,042</w:t>
            </w:r>
          </w:p>
        </w:tc>
      </w:tr>
      <w:tr>
        <w:tc>
          <w:tcPr>
            <w:gridSpan w:val="5"/>
          </w:tcPr>
          <w:p>
            <w:pPr>
              <w:pStyle w:val="Compact"/>
              <w:jc w:val="left"/>
            </w:pPr>
            <w:r>
              <w:rPr>
                <w:bCs/>
                <w:b/>
              </w:rPr>
              <w:t xml:space="preserve">GRAND TOTAL (AED)</w:t>
            </w:r>
          </w:p>
        </w:tc>
        <w:tc>
          <w:tcPr/>
          <w:p>
            <w:pPr>
              <w:pStyle w:val="Compact"/>
              <w:jc w:val="left"/>
            </w:pPr>
            <w:r>
              <w:rPr>
                <w:bCs/>
                <w:b/>
              </w:rPr>
              <w:t xml:space="preserve">819,888</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contract execution, 40% upon completion of the six-month milestone, and the remaining 30% upon final project delivery and acceptance. All payments shall be made via bank transfer to the designated account of MedResearch Gulf FZ-LLC, United Arab Emirates Abu Dhabi. Late payments shall attract a penalty of 1.5% per month in accordance with UAE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conditions in the United Arab Emirates Abu Dhabi healthcare sector.</w:t>
      </w:r>
    </w:p>
    <w:p>
      <w:pPr>
        <w:numPr>
          <w:ilvl w:val="0"/>
          <w:numId w:val="1002"/>
        </w:numPr>
        <w:pStyle w:val="Compact"/>
      </w:pPr>
      <w:r>
        <w:t xml:space="preserve">The</w:t>
      </w:r>
      <w:r>
        <w:t xml:space="preserve"> </w:t>
      </w:r>
      <w:r>
        <w:t xml:space="preserve">Medical Researcher</w:t>
      </w:r>
      <w:r>
        <w:t xml:space="preserve"> </w:t>
      </w:r>
      <w:r>
        <w:t xml:space="preserve">shall comply with all applicable UAE federal and Abu Dhabi emirate-level regulations, including but not limited to the Abu Dhabi DoH Practising Regulations and the UAE Ministry of Health and Prevention (MOHAP) research guidelines.</w:t>
      </w:r>
    </w:p>
    <w:p>
      <w:pPr>
        <w:numPr>
          <w:ilvl w:val="0"/>
          <w:numId w:val="1002"/>
        </w:numPr>
        <w:pStyle w:val="Compact"/>
      </w:pPr>
      <w:r>
        <w:t xml:space="preserve">All intellectual property generated during the engagement shall be jointly owned by MedResearch Gulf FZ-LLC and Tawjeeh Medical Research Institute, as stipulated in a separate IP Addendum.</w:t>
      </w:r>
    </w:p>
    <w:p>
      <w:pPr>
        <w:numPr>
          <w:ilvl w:val="0"/>
          <w:numId w:val="1002"/>
        </w:numPr>
        <w:pStyle w:val="Compact"/>
      </w:pPr>
      <w:r>
        <w:t xml:space="preserve">Confidentiality obligations shall survive termination of the contract for a period of five (5) years, in line with UAE Federal Decree-Law No. 45 of 2021 on the Protection of Personal Data.</w:t>
      </w:r>
    </w:p>
    <w:p>
      <w:pPr>
        <w:numPr>
          <w:ilvl w:val="0"/>
          <w:numId w:val="1002"/>
        </w:numPr>
        <w:pStyle w:val="Compact"/>
      </w:pPr>
      <w:r>
        <w:t xml:space="preserve">Either party may terminate the agreement with sixty (60) days written notice. In the event of early termination, pro-rata charges for services rendered up to the termination date shall apply.</w:t>
      </w:r>
    </w:p>
    <w:p>
      <w:pPr>
        <w:numPr>
          <w:ilvl w:val="0"/>
          <w:numId w:val="1002"/>
        </w:numPr>
        <w:pStyle w:val="Compact"/>
      </w:pPr>
      <w:r>
        <w:t xml:space="preserve">Disputes arising from this Quotation Estimate shall be resolved through arbitration in Abu Dhabi under the rules of the Abu Dhabi Global Market (ADGM) Financial Disputes Centre.</w:t>
      </w:r>
    </w:p>
    <w:p>
      <w:pPr>
        <w:pStyle w:val="FirstParagraph"/>
      </w:pPr>
      <w:r>
        <w:rPr>
          <w:bCs/>
          <w:b/>
        </w:rPr>
        <w:t xml:space="preserve">Note:</w:t>
      </w:r>
      <w:r>
        <w:t xml:space="preserve"> </w:t>
      </w:r>
      <w:r>
        <w:t xml:space="preserve">This Quotation Estimate does not constitute a binding contract until countersigned by both parties. The Medical Researcher's final appointment is subject to successful verification of credentials by the Abu Dhabi DoH and clearance of all background checks mandated by UAE immigration and security authorities.</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 the engagement of a</w:t>
      </w:r>
      <w:r>
        <w:t xml:space="preserve"> </w:t>
      </w:r>
      <w:r>
        <w:t xml:space="preserve">Medical Researcher</w:t>
      </w:r>
      <w:r>
        <w:t xml:space="preserve"> </w:t>
      </w:r>
      <w:r>
        <w:t xml:space="preserve">in the United Arab Emirates Abu Dhabi.</w:t>
      </w:r>
    </w:p>
    <w:p>
      <w:pPr>
        <w:pStyle w:val="BodyText"/>
      </w:pPr>
      <w:r>
        <w:rPr>
          <w:bCs/>
          <w:b/>
        </w:rPr>
        <w:t xml:space="preserve">For MedResearch Gulf FZ-LLC</w:t>
      </w:r>
      <w:r>
        <w:br/>
      </w:r>
      <w:r>
        <w:t xml:space="preserve">Name: Dr. Khalid Al Mansoori</w:t>
      </w:r>
      <w:r>
        <w:br/>
      </w:r>
      <w:r>
        <w:t xml:space="preserve">Title: Managing Director</w:t>
      </w:r>
      <w:r>
        <w:br/>
      </w:r>
      <w:r>
        <w:t xml:space="preserve">Date: _______________</w:t>
      </w:r>
    </w:p>
    <w:p>
      <w:pPr>
        <w:pStyle w:val="BodyText"/>
      </w:pPr>
      <w:r>
        <w:rPr>
          <w:bCs/>
          <w:b/>
        </w:rPr>
        <w:t xml:space="preserve">For Tawjeeh Medical Research Institute</w:t>
      </w:r>
      <w:r>
        <w:br/>
      </w:r>
      <w:r>
        <w:t xml:space="preserve">Name: _________________________</w:t>
      </w:r>
      <w:r>
        <w:br/>
      </w:r>
      <w:r>
        <w:t xml:space="preserve">Title: _________________________</w:t>
      </w:r>
      <w:r>
        <w:br/>
      </w:r>
      <w:r>
        <w:t xml:space="preserve">Date: _______________</w:t>
      </w:r>
    </w:p>
    <w:p>
      <w:pPr>
        <w:pStyle w:val="BodyText"/>
      </w:pPr>
      <w:r>
        <w:t xml:space="preserve">MedResearch Gulf FZ-LLC | United Arab Emirates Abu Dhabi | Al Reem Island, PO Box 12847, Abu Dhabi, UAE</w:t>
      </w:r>
    </w:p>
    <w:p>
      <w:pPr>
        <w:pStyle w:val="BodyText"/>
      </w:pPr>
      <w:r>
        <w:t xml:space="preserve">This Quotation Estimate is the property of MedResearch Gulf FZ-LLC. Unauthorised reproduction or distribution is prohibited under UAE intellectual property law.</w:t>
      </w:r>
    </w:p>
    <w:p>
      <w:pPr>
        <w:pStyle w:val="BodyText"/>
      </w:pPr>
      <w:r>
        <w:t xml:space="preserve">Document Reference: QTE-2025-ABH-0387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United Arab Emirates Abu Dhabi</dc:title>
  <dc:creator/>
  <dc:language>en</dc:language>
  <cp:keywords/>
  <dcterms:created xsi:type="dcterms:W3CDTF">2026-10-10T03:20:13Z</dcterms:created>
  <dcterms:modified xsi:type="dcterms:W3CDTF">2026-10-10T03:20:13Z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