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Medical Researcher Services | United Arab Emirates Dubai</w:t>
      </w:r>
    </w:p>
    <w:bookmarkEnd w:id="20"/>
    <w:bookmarkStart w:id="21" w:name="service-provider"/>
    <w:p>
      <w:pPr>
        <w:pStyle w:val="Heading3"/>
      </w:pPr>
      <w:r>
        <w:t xml:space="preserve">Service Provider</w:t>
      </w:r>
    </w:p>
    <w:p>
      <w:pPr>
        <w:pStyle w:val="FirstParagraph"/>
      </w:pPr>
      <w:r>
        <w:rPr>
          <w:bCs/>
          <w:b/>
        </w:rPr>
        <w:t xml:space="preserve">MedResearch Gulf LLC</w:t>
      </w:r>
    </w:p>
    <w:p>
      <w:pPr>
        <w:pStyle w:val="BodyText"/>
      </w:pPr>
      <w:r>
        <w:t xml:space="preserve">Office 1204, Level 12, Burj Khalifa</w:t>
      </w:r>
    </w:p>
    <w:p>
      <w:pPr>
        <w:pStyle w:val="BodyText"/>
      </w:pPr>
      <w:r>
        <w:t xml:space="preserve">Downtown Dubai, United Arab Emirates</w:t>
      </w:r>
    </w:p>
    <w:p>
      <w:pPr>
        <w:pStyle w:val="BodyText"/>
      </w:pPr>
      <w:r>
        <w:t xml:space="preserve">Tel: +971 4 555 0192</w:t>
      </w:r>
    </w:p>
    <w:p>
      <w:pPr>
        <w:pStyle w:val="BodyText"/>
      </w:pPr>
      <w:r>
        <w:t xml:space="preserve">Email: quotations@medresearchgulf.ae</w:t>
      </w:r>
    </w:p>
    <w:p>
      <w:pPr>
        <w:pStyle w:val="BodyText"/>
      </w:pPr>
      <w:r>
        <w:t xml:space="preserve">Trade License No: 1045823</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Dubai</w:t>
      </w:r>
    </w:p>
    <w:p>
      <w:pPr>
        <w:pStyle w:val="BodyText"/>
      </w:pPr>
      <w:r>
        <w:rPr>
          <w:bCs/>
          <w:b/>
        </w:rPr>
        <w:t xml:space="preserve">United Arab Emirates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Tel:</w:t>
      </w:r>
      <w:r>
        <w:t xml:space="preserve"> </w:t>
      </w:r>
      <w:r>
        <w:t xml:space="preserve">+971 [Number]</w:t>
      </w:r>
    </w:p>
    <w:bookmarkEnd w:id="22"/>
    <w:p>
      <w:pPr>
        <w:pStyle w:val="BodyText"/>
      </w:pPr>
      <w:r>
        <w:t xml:space="preserve">Quotation No:</w:t>
      </w:r>
      <w:r>
        <w:t xml:space="preserve"> </w:t>
      </w:r>
      <w:r>
        <w:t xml:space="preserve">QTE-2025-0847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Project Location:</w:t>
      </w:r>
      <w:r>
        <w:t xml:space="preserve"> </w:t>
      </w:r>
      <w:r>
        <w:t xml:space="preserve">Dubai, UAE</w:t>
      </w:r>
    </w:p>
    <w:bookmarkStart w:id="23" w:name="Xb1e69cda2657fb3522d5f06f68500be55311324"/>
    <w:p>
      <w:pPr>
        <w:pStyle w:val="Heading2"/>
      </w:pPr>
      <w:r>
        <w:t xml:space="preserve">Scope of Services – Medical Researcher Engagement</w:t>
      </w:r>
    </w:p>
    <w:p>
      <w:pPr>
        <w:pStyle w:val="FirstParagraph"/>
      </w:pPr>
      <w:r>
        <w:t xml:space="preserve">This</w:t>
      </w:r>
      <w:r>
        <w:t xml:space="preserve"> </w:t>
      </w:r>
      <w:r>
        <w:t xml:space="preserve">Quotation Estimate</w:t>
      </w:r>
      <w:r>
        <w:t xml:space="preserve"> </w:t>
      </w:r>
      <w:r>
        <w:t xml:space="preserve">is issued by MedResearch Gulf LLC to provide a comprehensive and transparent breakdown of costs associated with the engagement of a qualified</w:t>
      </w:r>
      <w:r>
        <w:t xml:space="preserve"> </w:t>
      </w:r>
      <w:r>
        <w:t xml:space="preserve">Medical Researcher</w:t>
      </w:r>
      <w:r>
        <w:t xml:space="preserve"> </w:t>
      </w:r>
      <w:r>
        <w:t xml:space="preserve">for the client's research programme based in</w:t>
      </w:r>
      <w:r>
        <w:t xml:space="preserve"> </w:t>
      </w:r>
      <w:r>
        <w:t xml:space="preserve">United Arab Emirates Dubai</w:t>
      </w:r>
      <w:r>
        <w:t xml:space="preserve">. The services outlined below are designed to meet the regulatory standards set by the Dubai Health Authority (DHA) and the Ministry of Health and Prevention (MOHAP) of the United Arab Emirates.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Senior Medical Researcher – Full-time engagement (PhD in Clinical Medicine, 10+ years experience in biomedical research)</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Junior Medical Researcher – Full-time engagement (MD/PhD, 4+ years in laboratory and field research)</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336,000.00</w:t>
            </w:r>
          </w:p>
        </w:tc>
      </w:tr>
      <w:tr>
        <w:tc>
          <w:tcPr/>
          <w:p>
            <w:pPr>
              <w:pStyle w:val="Compact"/>
              <w:jc w:val="left"/>
            </w:pPr>
            <w:r>
              <w:t xml:space="preserve">3</w:t>
            </w:r>
          </w:p>
        </w:tc>
        <w:tc>
          <w:tcPr/>
          <w:p>
            <w:pPr>
              <w:pStyle w:val="Compact"/>
              <w:jc w:val="left"/>
            </w:pPr>
            <w:r>
              <w:t xml:space="preserve">Research Protocol Development &amp; Ethical Committee Submission (Dubai Health Authority IRB)</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Literature Review &amp; Systematic Meta-Analysis (minimum 200 peer-reviewed sources)</w:t>
            </w:r>
          </w:p>
        </w:tc>
        <w:tc>
          <w:tcPr/>
          <w:p>
            <w:pPr>
              <w:pStyle w:val="Compact"/>
              <w:jc w:val="left"/>
            </w:pPr>
            <w:r>
              <w:t xml:space="preserve">Per project</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Statistical Data Analysis &amp; Reporting (SPSS, R, SAS – up to 50,000 data points)</w:t>
            </w:r>
          </w:p>
        </w:tc>
        <w:tc>
          <w:tcPr/>
          <w:p>
            <w:pPr>
              <w:pStyle w:val="Compact"/>
              <w:jc w:val="left"/>
            </w:pPr>
            <w:r>
              <w:t xml:space="preserve">Per dataset</w:t>
            </w:r>
          </w:p>
        </w:tc>
        <w:tc>
          <w:tcPr/>
          <w:p>
            <w:pPr>
              <w:pStyle w:val="Compact"/>
              <w:jc w:val="left"/>
            </w:pPr>
            <w:r>
              <w:t xml:space="preserve">9,500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Publication Support – Manuscript preparation, journal selection, and peer-review response (up to 3 publications)</w:t>
            </w:r>
          </w:p>
        </w:tc>
        <w:tc>
          <w:tcPr/>
          <w:p>
            <w:pPr>
              <w:pStyle w:val="Compact"/>
              <w:jc w:val="left"/>
            </w:pPr>
            <w:r>
              <w:t xml:space="preserve">Per publication</w:t>
            </w:r>
          </w:p>
        </w:tc>
        <w:tc>
          <w:tcPr/>
          <w:p>
            <w:pPr>
              <w:pStyle w:val="Compact"/>
              <w:jc w:val="left"/>
            </w:pPr>
            <w:r>
              <w:t xml:space="preserve">7,500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Regulatory Compliance &amp; Licensing (DHA/MOHAP researcher registration, visa sponsorship, medical council attestation)</w:t>
            </w:r>
          </w:p>
        </w:tc>
        <w:tc>
          <w:tcPr/>
          <w:p>
            <w:pPr>
              <w:pStyle w:val="Compact"/>
              <w:jc w:val="left"/>
            </w:pPr>
            <w:r>
              <w:t xml:space="preserve">One-time</w:t>
            </w:r>
          </w:p>
        </w:tc>
        <w:tc>
          <w:tcPr/>
          <w:p>
            <w:pPr>
              <w:pStyle w:val="Compact"/>
              <w:jc w:val="left"/>
            </w:pPr>
            <w:r>
              <w:t xml:space="preserve">6,800</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Office Space &amp; Laboratory Access – Shared research facility, Dubai Science Park, Rashid Industrial Area</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9</w:t>
            </w:r>
          </w:p>
        </w:tc>
        <w:tc>
          <w:tcPr/>
          <w:p>
            <w:pPr>
              <w:pStyle w:val="Compact"/>
              <w:jc w:val="left"/>
            </w:pPr>
            <w:r>
              <w:t xml:space="preserve">Project Management &amp; Weekly Progress Reporting to Client</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Travel &amp; Fieldwork within United Arab Emirates Dubai and surrounding emirates (Abu Dhabi, Sharjah)</w:t>
            </w:r>
          </w:p>
        </w:tc>
        <w:tc>
          <w:tcPr/>
          <w:p>
            <w:pPr>
              <w:pStyle w:val="Compact"/>
              <w:jc w:val="left"/>
            </w:pPr>
            <w:r>
              <w:t xml:space="preserve">As required</w:t>
            </w:r>
          </w:p>
        </w:tc>
        <w:tc>
          <w:tcPr/>
          <w:p>
            <w:pPr>
              <w:pStyle w:val="Compact"/>
              <w:jc w:val="left"/>
            </w:pPr>
            <w:r>
              <w:t xml:space="preserve">1,200 / day</w:t>
            </w:r>
          </w:p>
        </w:tc>
        <w:tc>
          <w:tcPr/>
          <w:p>
            <w:pPr>
              <w:pStyle w:val="Compact"/>
              <w:jc w:val="left"/>
            </w:pPr>
            <w:r>
              <w:t xml:space="preserve">14,400.00</w:t>
            </w:r>
          </w:p>
        </w:tc>
      </w:tr>
      <w:tr>
        <w:tc>
          <w:tcPr>
            <w:gridSpan w:val="4"/>
          </w:tcPr>
          <w:p>
            <w:pPr>
              <w:pStyle w:val="Compact"/>
              <w:jc w:val="left"/>
            </w:pPr>
            <w:r>
              <w:t xml:space="preserve">TOTAL ESTIMATED COST (AED)</w:t>
            </w:r>
          </w:p>
        </w:tc>
        <w:tc>
          <w:tcPr/>
          <w:p>
            <w:pPr>
              <w:pStyle w:val="Compact"/>
              <w:jc w:val="left"/>
            </w:pPr>
            <w:r>
              <w:t xml:space="preserve">1,052,100.00</w:t>
            </w:r>
          </w:p>
        </w:tc>
      </w:tr>
      <w:tr>
        <w:tc>
          <w:tcPr>
            <w:gridSpan w:val="4"/>
          </w:tcPr>
          <w:p>
            <w:pPr>
              <w:pStyle w:val="Compact"/>
              <w:jc w:val="left"/>
            </w:pPr>
            <w:r>
              <w:t xml:space="preserve">VAT (5% – United Arab Emirates)</w:t>
            </w:r>
          </w:p>
        </w:tc>
        <w:tc>
          <w:tcPr/>
          <w:p>
            <w:pPr>
              <w:pStyle w:val="Compact"/>
              <w:jc w:val="left"/>
            </w:pPr>
            <w:r>
              <w:t xml:space="preserve">52,605.00</w:t>
            </w:r>
          </w:p>
        </w:tc>
      </w:tr>
      <w:tr>
        <w:tc>
          <w:tcPr>
            <w:gridSpan w:val="4"/>
          </w:tcPr>
          <w:p>
            <w:pPr>
              <w:pStyle w:val="Compact"/>
              <w:jc w:val="left"/>
            </w:pPr>
            <w:r>
              <w:t xml:space="preserve">GRAND TOTAL (AED)</w:t>
            </w:r>
          </w:p>
        </w:tc>
        <w:tc>
          <w:tcPr/>
          <w:p>
            <w:pPr>
              <w:pStyle w:val="Compact"/>
              <w:jc w:val="left"/>
            </w:pPr>
            <w:r>
              <w:t xml:space="preserve">1,104,705.00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Medical Researcher</w:t>
      </w:r>
      <w:r>
        <w:t xml:space="preserve"> </w:t>
      </w:r>
      <w:r>
        <w:t xml:space="preserve">team are subject to revision.</w:t>
      </w:r>
    </w:p>
    <w:p>
      <w:pPr>
        <w:numPr>
          <w:ilvl w:val="0"/>
          <w:numId w:val="1001"/>
        </w:numPr>
        <w:pStyle w:val="Compact"/>
      </w:pPr>
      <w:r>
        <w:t xml:space="preserve">Payment terms: 40% advance upon acceptance of this quotation, 30% upon completion of the first six (6) months, and 30% upon final project delivery and acceptance.</w:t>
      </w:r>
    </w:p>
    <w:p>
      <w:pPr>
        <w:numPr>
          <w:ilvl w:val="0"/>
          <w:numId w:val="1001"/>
        </w:numPr>
        <w:pStyle w:val="Compact"/>
      </w:pPr>
      <w:r>
        <w:t xml:space="preserve">All payments shall be made in United Arab Emirates Dirhams (AED) via bank transfer to the account of MedResearch Gulf LLC, Dubai, United Arab Emirates.</w:t>
      </w:r>
    </w:p>
    <w:p>
      <w:pPr>
        <w:numPr>
          <w:ilvl w:val="0"/>
          <w:numId w:val="1001"/>
        </w:numPr>
        <w:pStyle w:val="Compact"/>
      </w:pPr>
      <w:r>
        <w:t xml:space="preserve">The</w:t>
      </w:r>
      <w:r>
        <w:t xml:space="preserve"> </w:t>
      </w:r>
      <w:r>
        <w:t xml:space="preserve">Medical Researcher</w:t>
      </w:r>
      <w:r>
        <w:t xml:space="preserve"> </w:t>
      </w:r>
      <w:r>
        <w:t xml:space="preserve">personnel engaged under this quotation shall comply with all applicable laws and regulations of the United Arab Emirates, including but not limited to the Federal Decree-Law No. 3 of 2019 on the Protection of Personal Data and DHA research guidelines.</w:t>
      </w:r>
    </w:p>
    <w:p>
      <w:pPr>
        <w:numPr>
          <w:ilvl w:val="0"/>
          <w:numId w:val="1001"/>
        </w:numPr>
        <w:pStyle w:val="Compact"/>
      </w:pPr>
      <w:r>
        <w:t xml:space="preserve">Intellectual property generated during the course of the research engagement shall be jointly owned by the client and MedResearch Gulf LLC, unless otherwise agreed in a separate IP agreement.</w:t>
      </w:r>
    </w:p>
    <w:p>
      <w:pPr>
        <w:numPr>
          <w:ilvl w:val="0"/>
          <w:numId w:val="1001"/>
        </w:numPr>
        <w:pStyle w:val="Compact"/>
      </w:pPr>
      <w:r>
        <w:t xml:space="preserve">Any changes to the scope of work, additional research deliverables, or extension of the</w:t>
      </w:r>
      <w:r>
        <w:t xml:space="preserve"> </w:t>
      </w:r>
      <w:r>
        <w:t xml:space="preserve">Medical Researcher</w:t>
      </w:r>
      <w:r>
        <w:t xml:space="preserve"> </w:t>
      </w:r>
      <w:r>
        <w:t xml:space="preserve">engagement beyond the twelve-month period shall be subject to a supplementary quotation estimate and mutual written consent.</w:t>
      </w:r>
    </w:p>
    <w:p>
      <w:pPr>
        <w:numPr>
          <w:ilvl w:val="0"/>
          <w:numId w:val="1001"/>
        </w:numPr>
        <w:pStyle w:val="Compact"/>
      </w:pPr>
      <w:r>
        <w:t xml:space="preserve">This quotation does not constitute a binding contract. A formal Service Agreement must be executed by both parties prior to the commencement of any services.</w:t>
      </w:r>
    </w:p>
    <w:p>
      <w:pPr>
        <w:numPr>
          <w:ilvl w:val="0"/>
          <w:numId w:val="1001"/>
        </w:numPr>
        <w:pStyle w:val="Compact"/>
      </w:pPr>
      <w:r>
        <w:t xml:space="preserve">Force majeure events, including but not limited to government-mandated closures in Dubai or the wider United Arab Emirates, shall suspend project timelines without penalty to either party.</w:t>
      </w:r>
    </w:p>
    <w:p>
      <w:pPr>
        <w:numPr>
          <w:ilvl w:val="0"/>
          <w:numId w:val="1001"/>
        </w:numPr>
        <w:pStyle w:val="Compact"/>
      </w:pPr>
      <w:r>
        <w:t xml:space="preserve">All disputes arising from this</w:t>
      </w:r>
      <w:r>
        <w:t xml:space="preserve"> </w:t>
      </w:r>
      <w:r>
        <w:t xml:space="preserve">Quotation Estimate</w:t>
      </w:r>
      <w:r>
        <w:t xml:space="preserve"> </w:t>
      </w:r>
      <w:r>
        <w:t xml:space="preserve">or the subsequent agreement shall be resolved through arbitration in Dubai under the rules of the Dubai International Arbitration Centre (DIAC).</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Medical Researcher</w:t>
      </w:r>
      <w:r>
        <w:t xml:space="preserve"> </w:t>
      </w:r>
      <w:r>
        <w:t xml:space="preserve">team in</w:t>
      </w:r>
      <w:r>
        <w:t xml:space="preserve"> </w:t>
      </w:r>
      <w:r>
        <w:t xml:space="preserve">United Arab Emirates Dubai</w:t>
      </w:r>
      <w:r>
        <w:t xml:space="preserve">.</w:t>
      </w:r>
    </w:p>
    <w:p>
      <w:pPr>
        <w:pStyle w:val="BodyText"/>
      </w:pPr>
      <w:r>
        <w:rPr>
          <w:bCs/>
          <w:b/>
        </w:rPr>
        <w:t xml:space="preserve">For MedResearch Gulf LLC</w:t>
      </w:r>
      <w:r>
        <w:br/>
      </w:r>
      <w:r>
        <w:t xml:space="preserve">Authorized Signatory</w:t>
      </w:r>
      <w:r>
        <w:br/>
      </w:r>
      <w:r>
        <w:t xml:space="preserve">Name: Dr. Khalid Al Mansoori</w:t>
      </w:r>
      <w:r>
        <w:br/>
      </w:r>
      <w:r>
        <w:t xml:space="preserve">Title: Managing Director</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non-transferable. All pricing is in AED and inclusive of applicable United Arab Emirates Dubai municipal fees. MedResearch Gulf LLC reserves the right to amend this estimate in the event of material changes to regulatory requirements by the Dubai Health Authority or the Federal Ministry of Health and Prevention. For queries regarding this Medical Researcher engagement quotation, please contact our Dubai office at +971 4 555 0192 or quotations@medresearchgulf.ae.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Arab Emirates Dubai</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