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texas-biomedical-research-associates-llc"/>
    <w:p>
      <w:pPr>
        <w:pStyle w:val="Heading1"/>
      </w:pPr>
      <w:r>
        <w:t xml:space="preserve">Texas Biomedical Research Associates, LLC</w:t>
      </w:r>
    </w:p>
    <w:p>
      <w:pPr>
        <w:pStyle w:val="FirstParagraph"/>
      </w:pPr>
      <w:r>
        <w:t xml:space="preserve">4500 Research Park Drive, Suite 320, Houston, Texas 77030, United States</w:t>
      </w:r>
    </w:p>
    <w:p>
      <w:pPr>
        <w:pStyle w:val="BodyText"/>
      </w:pPr>
      <w:r>
        <w:t xml:space="preserve">Phone: (713) 555-0187 | Email: estimates@txbiomedicalresearch.com</w:t>
      </w:r>
    </w:p>
    <w:p>
      <w:pPr>
        <w:pStyle w:val="BodyText"/>
      </w:pPr>
      <w:r>
        <w:t xml:space="preserve">Texas Business License No. TX-2024-88431 | EIN: 74-XXXXXXX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QTE-HOU-2025-0472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Dr. Margaret Ellison, MD, PhD</w:t>
      </w:r>
    </w:p>
    <w:p>
      <w:pPr>
        <w:pStyle w:val="BodyText"/>
      </w:pPr>
      <w:r>
        <w:rPr>
          <w:bCs/>
          <w:b/>
        </w:rPr>
        <w:t xml:space="preserve">Organization:</w:t>
      </w:r>
      <w:r>
        <w:t xml:space="preserve"> </w:t>
      </w:r>
      <w:r>
        <w:t xml:space="preserve">Houston Methodist Research Institute</w:t>
      </w:r>
    </w:p>
    <w:p>
      <w:pPr>
        <w:pStyle w:val="BodyText"/>
      </w:pPr>
      <w:r>
        <w:rPr>
          <w:bCs/>
          <w:b/>
        </w:rPr>
        <w:t xml:space="preserve">Address:</w:t>
      </w:r>
      <w:r>
        <w:t xml:space="preserve"> </w:t>
      </w:r>
      <w:r>
        <w:t xml:space="preserve">6565 Fannin St, Houston, TX 77030</w:t>
      </w:r>
    </w:p>
    <w:bookmarkEnd w:id="21"/>
    <w:bookmarkStart w:id="22" w:name="project-reference"/>
    <w:p>
      <w:pPr>
        <w:pStyle w:val="Heading3"/>
      </w:pPr>
      <w:r>
        <w:t xml:space="preserve">Project Reference</w:t>
      </w:r>
    </w:p>
    <w:p>
      <w:pPr>
        <w:pStyle w:val="FirstParagraph"/>
      </w:pPr>
      <w:r>
        <w:rPr>
          <w:bCs/>
          <w:b/>
        </w:rPr>
        <w:t xml:space="preserve">Project Title:</w:t>
      </w:r>
      <w:r>
        <w:t xml:space="preserve"> </w:t>
      </w:r>
      <w:r>
        <w:t xml:space="preserve">Phase II Clinical Trial – Oncology Biomarker Study</w:t>
      </w:r>
    </w:p>
    <w:p>
      <w:pPr>
        <w:pStyle w:val="BodyText"/>
      </w:pPr>
      <w:r>
        <w:rPr>
          <w:bCs/>
          <w:b/>
        </w:rPr>
        <w:t xml:space="preserve">Location:</w:t>
      </w:r>
      <w:r>
        <w:t xml:space="preserve"> </w:t>
      </w:r>
      <w:r>
        <w:t xml:space="preserve">United States Houston, Texas</w:t>
      </w:r>
    </w:p>
    <w:p>
      <w:pPr>
        <w:pStyle w:val="BodyText"/>
      </w:pPr>
      <w:r>
        <w:rPr>
          <w:bCs/>
          <w:b/>
        </w:rPr>
        <w:t xml:space="preserve">Duration:</w:t>
      </w:r>
      <w:r>
        <w:t xml:space="preserve"> </w:t>
      </w:r>
      <w:r>
        <w:t xml:space="preserve">18 Months (July 2025 – December 2026)</w:t>
      </w:r>
    </w:p>
    <w:p>
      <w:pPr>
        <w:pStyle w:val="BodyText"/>
      </w:pPr>
      <w:r>
        <w:rPr>
          <w:bCs/>
          <w:b/>
        </w:rPr>
        <w:t xml:space="preserve">Principal Investigator:</w:t>
      </w:r>
      <w:r>
        <w:t xml:space="preserve"> </w:t>
      </w:r>
      <w:r>
        <w:t xml:space="preserve">Dr. Margaret Ellison</w:t>
      </w:r>
    </w:p>
    <w:p>
      <w:pPr>
        <w:pStyle w:val="BodyText"/>
      </w:pPr>
      <w:r>
        <w:rPr>
          <w:bCs/>
          <w:b/>
        </w:rPr>
        <w:t xml:space="preserve">Funding Source:</w:t>
      </w:r>
      <w:r>
        <w:t xml:space="preserve"> </w:t>
      </w:r>
      <w:r>
        <w:t xml:space="preserve">NIH Grant R01-CA-2025-1187</w:t>
      </w:r>
    </w:p>
    <w:bookmarkEnd w:id="22"/>
    <w:bookmarkStart w:id="23" w:name="Xb1e69cda2657fb3522d5f06f68500be55311324"/>
    <w:p>
      <w:pPr>
        <w:pStyle w:val="Heading2"/>
      </w:pPr>
      <w:r>
        <w:t xml:space="preserve">1. Scope of Services – Medical Researcher Engagement</w:t>
      </w:r>
    </w:p>
    <w:p>
      <w:pPr>
        <w:pStyle w:val="FirstParagraph"/>
      </w:pPr>
      <w:r>
        <w:t xml:space="preserve">This</w:t>
      </w:r>
      <w:r>
        <w:t xml:space="preserve"> </w:t>
      </w:r>
      <w:r>
        <w:t xml:space="preserve">Quotation Estimate</w:t>
      </w:r>
      <w:r>
        <w:t xml:space="preserve"> </w:t>
      </w:r>
      <w:r>
        <w:t xml:space="preserve">is issued by Texas Biomedical Research Associates, LLC to formally outline the professional services, compensation, and associated costs for the engagement of a senior</w:t>
      </w:r>
      <w:r>
        <w:t xml:space="preserve"> </w:t>
      </w:r>
      <w:r>
        <w:t xml:space="preserve">Medical Researcher</w:t>
      </w:r>
      <w:r>
        <w:t xml:space="preserve"> </w:t>
      </w:r>
      <w:r>
        <w:t xml:space="preserve">to support the Phase II Clinical Trial – Oncology Biomarker Study. The</w:t>
      </w:r>
      <w:r>
        <w:t xml:space="preserve"> </w:t>
      </w:r>
      <w:r>
        <w:t xml:space="preserve">Medical Researcher</w:t>
      </w:r>
      <w:r>
        <w:t xml:space="preserve"> </w:t>
      </w:r>
      <w:r>
        <w:t xml:space="preserve">will be based in</w:t>
      </w:r>
      <w:r>
        <w:t xml:space="preserve"> </w:t>
      </w:r>
      <w:r>
        <w:t xml:space="preserve">United States Houston</w:t>
      </w:r>
      <w:r>
        <w:t xml:space="preserve"> </w:t>
      </w:r>
      <w:r>
        <w:t xml:space="preserve">and will operate primarily from the Houston Methodist Research Institute campus, with occasional travel to affiliated clinical sites within the greater Houston metropolitan area. The scope encompasses laboratory analysis, data management, regulatory compliance oversight, peer-reviewed publication support, and direct collaboration with the Principal Investigator and multidisciplinary research team.</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Medical Researcher – Monthly Professional Fee (full-time, 40 hrs/week)</w:t>
            </w:r>
          </w:p>
        </w:tc>
        <w:tc>
          <w:tcPr/>
          <w:p>
            <w:pPr>
              <w:pStyle w:val="Compact"/>
              <w:jc w:val="left"/>
            </w:pPr>
            <w:r>
              <w:t xml:space="preserve">18 months</w:t>
            </w:r>
          </w:p>
        </w:tc>
        <w:tc>
          <w:tcPr/>
          <w:p>
            <w:pPr>
              <w:pStyle w:val="Compact"/>
              <w:jc w:val="left"/>
            </w:pPr>
            <w:r>
              <w:t xml:space="preserve">$14,500.00</w:t>
            </w:r>
          </w:p>
        </w:tc>
        <w:tc>
          <w:tcPr/>
          <w:p>
            <w:pPr>
              <w:pStyle w:val="Compact"/>
              <w:jc w:val="left"/>
            </w:pPr>
            <w:r>
              <w:t xml:space="preserve">$261,000.00</w:t>
            </w:r>
          </w:p>
        </w:tc>
        <w:tc>
          <w:tcPr/>
          <w:p>
            <w:pPr>
              <w:pStyle w:val="Compact"/>
              <w:jc w:val="left"/>
            </w:pPr>
            <w:r>
              <w:t xml:space="preserve">Includes benefits, insurance, and professional liability coverage</w:t>
            </w:r>
          </w:p>
        </w:tc>
      </w:tr>
      <w:tr>
        <w:tc>
          <w:tcPr/>
          <w:p>
            <w:pPr>
              <w:pStyle w:val="Compact"/>
              <w:jc w:val="left"/>
            </w:pPr>
            <w:r>
              <w:t xml:space="preserve">2</w:t>
            </w:r>
          </w:p>
        </w:tc>
        <w:tc>
          <w:tcPr/>
          <w:p>
            <w:pPr>
              <w:pStyle w:val="Compact"/>
              <w:jc w:val="left"/>
            </w:pPr>
            <w:r>
              <w:t xml:space="preserve">Medical Researcher – Onboarding, Training &amp; Institutional Orientation</w:t>
            </w:r>
          </w:p>
        </w:tc>
        <w:tc>
          <w:tcPr/>
          <w:p>
            <w:pPr>
              <w:pStyle w:val="Compact"/>
              <w:jc w:val="left"/>
            </w:pPr>
            <w:r>
              <w:t xml:space="preserve">1 time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IRB protocol familiarization, HIPAA training, lab safety certification</w:t>
            </w:r>
          </w:p>
        </w:tc>
      </w:tr>
      <w:tr>
        <w:tc>
          <w:tcPr/>
          <w:p>
            <w:pPr>
              <w:pStyle w:val="Compact"/>
              <w:jc w:val="left"/>
            </w:pPr>
            <w:r>
              <w:t xml:space="preserve">3</w:t>
            </w:r>
          </w:p>
        </w:tc>
        <w:tc>
          <w:tcPr/>
          <w:p>
            <w:pPr>
              <w:pStyle w:val="Compact"/>
              <w:jc w:val="left"/>
            </w:pPr>
            <w:r>
              <w:t xml:space="preserve">Laboratory Consumables &amp; Reagents (Biomarker Assay Kits, PCR Supplies)</w:t>
            </w:r>
          </w:p>
        </w:tc>
        <w:tc>
          <w:tcPr/>
          <w:p>
            <w:pPr>
              <w:pStyle w:val="Compact"/>
              <w:jc w:val="left"/>
            </w:pPr>
            <w:r>
              <w:t xml:space="preserve">18 months</w:t>
            </w:r>
          </w:p>
        </w:tc>
        <w:tc>
          <w:tcPr/>
          <w:p>
            <w:pPr>
              <w:pStyle w:val="Compact"/>
              <w:jc w:val="left"/>
            </w:pPr>
            <w:r>
              <w:t xml:space="preserve">$8,750.00</w:t>
            </w:r>
          </w:p>
        </w:tc>
        <w:tc>
          <w:tcPr/>
          <w:p>
            <w:pPr>
              <w:pStyle w:val="Compact"/>
              <w:jc w:val="left"/>
            </w:pPr>
            <w:r>
              <w:t xml:space="preserve">$157,500.00</w:t>
            </w:r>
          </w:p>
        </w:tc>
        <w:tc>
          <w:tcPr/>
          <w:p>
            <w:pPr>
              <w:pStyle w:val="Compact"/>
              <w:jc w:val="left"/>
            </w:pPr>
            <w:r>
              <w:t xml:space="preserve">Estimated monthly usage; subject to actual consumption audit</w:t>
            </w:r>
          </w:p>
        </w:tc>
      </w:tr>
      <w:tr>
        <w:tc>
          <w:tcPr/>
          <w:p>
            <w:pPr>
              <w:pStyle w:val="Compact"/>
              <w:jc w:val="left"/>
            </w:pPr>
            <w:r>
              <w:t xml:space="preserve">4</w:t>
            </w:r>
          </w:p>
        </w:tc>
        <w:tc>
          <w:tcPr/>
          <w:p>
            <w:pPr>
              <w:pStyle w:val="Compact"/>
              <w:jc w:val="left"/>
            </w:pPr>
            <w:r>
              <w:t xml:space="preserve">Biostatistical Software License (SAS, R, SPSS) – Annual Subscription</w:t>
            </w:r>
          </w:p>
        </w:tc>
        <w:tc>
          <w:tcPr/>
          <w:p>
            <w:pPr>
              <w:pStyle w:val="Compact"/>
              <w:jc w:val="left"/>
            </w:pPr>
            <w:r>
              <w:t xml:space="preserve">2 years</w:t>
            </w:r>
          </w:p>
        </w:tc>
        <w:tc>
          <w:tcPr/>
          <w:p>
            <w:pPr>
              <w:pStyle w:val="Compact"/>
              <w:jc w:val="left"/>
            </w:pPr>
            <w:r>
              <w:t xml:space="preserve">$4,800.00</w:t>
            </w:r>
          </w:p>
        </w:tc>
        <w:tc>
          <w:tcPr/>
          <w:p>
            <w:pPr>
              <w:pStyle w:val="Compact"/>
              <w:jc w:val="left"/>
            </w:pPr>
            <w:r>
              <w:t xml:space="preserve">$9,600.00</w:t>
            </w:r>
          </w:p>
        </w:tc>
        <w:tc>
          <w:tcPr/>
          <w:p>
            <w:pPr>
              <w:pStyle w:val="Compact"/>
              <w:jc w:val="left"/>
            </w:pPr>
            <w:r>
              <w:t xml:space="preserve">Enterprise license for 3 concurrent users</w:t>
            </w:r>
          </w:p>
        </w:tc>
      </w:tr>
      <w:tr>
        <w:tc>
          <w:tcPr/>
          <w:p>
            <w:pPr>
              <w:pStyle w:val="Compact"/>
              <w:jc w:val="left"/>
            </w:pPr>
            <w:r>
              <w:t xml:space="preserve">5</w:t>
            </w:r>
          </w:p>
        </w:tc>
        <w:tc>
          <w:tcPr/>
          <w:p>
            <w:pPr>
              <w:pStyle w:val="Compact"/>
              <w:jc w:val="left"/>
            </w:pPr>
            <w:r>
              <w:t xml:space="preserve">Regulatory Compliance &amp; FDA 21 CFR Part 11 Documentation Support</w:t>
            </w:r>
          </w:p>
        </w:tc>
        <w:tc>
          <w:tcPr/>
          <w:p>
            <w:pPr>
              <w:pStyle w:val="Compact"/>
              <w:jc w:val="left"/>
            </w:pPr>
            <w:r>
              <w:t xml:space="preserve">18 months</w:t>
            </w:r>
          </w:p>
        </w:tc>
        <w:tc>
          <w:tcPr/>
          <w:p>
            <w:pPr>
              <w:pStyle w:val="Compact"/>
              <w:jc w:val="left"/>
            </w:pPr>
            <w:r>
              <w:t xml:space="preserve">$2,100.00</w:t>
            </w:r>
          </w:p>
        </w:tc>
        <w:tc>
          <w:tcPr/>
          <w:p>
            <w:pPr>
              <w:pStyle w:val="Compact"/>
              <w:jc w:val="left"/>
            </w:pPr>
            <w:r>
              <w:t xml:space="preserve">$37,800.00</w:t>
            </w:r>
          </w:p>
        </w:tc>
        <w:tc>
          <w:tcPr/>
          <w:p>
            <w:pPr>
              <w:pStyle w:val="Compact"/>
              <w:jc w:val="left"/>
            </w:pPr>
            <w:r>
              <w:t xml:space="preserve">Monthly compliance review and audit trail maintenance</w:t>
            </w:r>
          </w:p>
        </w:tc>
      </w:tr>
      <w:tr>
        <w:tc>
          <w:tcPr/>
          <w:p>
            <w:pPr>
              <w:pStyle w:val="Compact"/>
              <w:jc w:val="left"/>
            </w:pPr>
            <w:r>
              <w:t xml:space="preserve">6</w:t>
            </w:r>
          </w:p>
        </w:tc>
        <w:tc>
          <w:tcPr/>
          <w:p>
            <w:pPr>
              <w:pStyle w:val="Compact"/>
              <w:jc w:val="left"/>
            </w:pPr>
            <w:r>
              <w:t xml:space="preserve">Local Travel &amp; Site Visits within United States Houston Metro Area</w:t>
            </w:r>
          </w:p>
        </w:tc>
        <w:tc>
          <w:tcPr/>
          <w:p>
            <w:pPr>
              <w:pStyle w:val="Compact"/>
              <w:jc w:val="left"/>
            </w:pPr>
            <w:r>
              <w:t xml:space="preserve">18 months</w:t>
            </w:r>
          </w:p>
        </w:tc>
        <w:tc>
          <w:tcPr/>
          <w:p>
            <w:pPr>
              <w:pStyle w:val="Compact"/>
              <w:jc w:val="left"/>
            </w:pPr>
            <w:r>
              <w:t xml:space="preserve">$650.00</w:t>
            </w:r>
          </w:p>
        </w:tc>
        <w:tc>
          <w:tcPr/>
          <w:p>
            <w:pPr>
              <w:pStyle w:val="Compact"/>
              <w:jc w:val="left"/>
            </w:pPr>
            <w:r>
              <w:t xml:space="preserve">$11,700.00</w:t>
            </w:r>
          </w:p>
        </w:tc>
        <w:tc>
          <w:tcPr/>
          <w:p>
            <w:pPr>
              <w:pStyle w:val="Compact"/>
              <w:jc w:val="left"/>
            </w:pPr>
            <w:r>
              <w:t xml:space="preserve">Per diem for travel to partner hospitals (MD Anderson, Baylor St. Luke's)</w:t>
            </w:r>
          </w:p>
        </w:tc>
      </w:tr>
      <w:tr>
        <w:tc>
          <w:tcPr/>
          <w:p>
            <w:pPr>
              <w:pStyle w:val="Compact"/>
              <w:jc w:val="left"/>
            </w:pPr>
            <w:r>
              <w:t xml:space="preserve">7</w:t>
            </w:r>
          </w:p>
        </w:tc>
        <w:tc>
          <w:tcPr/>
          <w:p>
            <w:pPr>
              <w:pStyle w:val="Compact"/>
              <w:jc w:val="left"/>
            </w:pPr>
            <w:r>
              <w:t xml:space="preserve">Peer-Reviewed Publication &amp; Conference Presentation Support</w:t>
            </w:r>
          </w:p>
        </w:tc>
        <w:tc>
          <w:tcPr/>
          <w:p>
            <w:pPr>
              <w:pStyle w:val="Compact"/>
              <w:jc w:val="left"/>
            </w:pPr>
            <w:r>
              <w:t xml:space="preserve">3 publications</w:t>
            </w:r>
          </w:p>
        </w:tc>
        <w:tc>
          <w:tcPr/>
          <w:p>
            <w:pPr>
              <w:pStyle w:val="Compact"/>
              <w:jc w:val="left"/>
            </w:pPr>
            <w:r>
              <w:t xml:space="preserve">$2,400.00</w:t>
            </w:r>
          </w:p>
        </w:tc>
        <w:tc>
          <w:tcPr/>
          <w:p>
            <w:pPr>
              <w:pStyle w:val="Compact"/>
              <w:jc w:val="left"/>
            </w:pPr>
            <w:r>
              <w:t xml:space="preserve">$7,200.00</w:t>
            </w:r>
          </w:p>
        </w:tc>
        <w:tc>
          <w:tcPr/>
          <w:p>
            <w:pPr>
              <w:pStyle w:val="Compact"/>
              <w:jc w:val="left"/>
            </w:pPr>
            <w:r>
              <w:t xml:space="preserve">Includes journal APCs, figure preparation, and abstract submission</w:t>
            </w:r>
          </w:p>
        </w:tc>
      </w:tr>
      <w:tr>
        <w:tc>
          <w:tcPr/>
          <w:p>
            <w:pPr>
              <w:pStyle w:val="Compact"/>
              <w:jc w:val="left"/>
            </w:pPr>
            <w:r>
              <w:t xml:space="preserve">8</w:t>
            </w:r>
          </w:p>
        </w:tc>
        <w:tc>
          <w:tcPr/>
          <w:p>
            <w:pPr>
              <w:pStyle w:val="Compact"/>
              <w:jc w:val="left"/>
            </w:pPr>
            <w:r>
              <w:t xml:space="preserve">Project Management &amp; Administrative Oversight (10% of labor)</w:t>
            </w:r>
          </w:p>
        </w:tc>
        <w:tc>
          <w:tcPr/>
          <w:p>
            <w:pPr>
              <w:pStyle w:val="Compact"/>
              <w:jc w:val="left"/>
            </w:pPr>
            <w:r>
              <w:t xml:space="preserve">18 months</w:t>
            </w:r>
          </w:p>
        </w:tc>
        <w:tc>
          <w:tcPr/>
          <w:p>
            <w:pPr>
              <w:pStyle w:val="Compact"/>
              <w:jc w:val="left"/>
            </w:pPr>
            <w:r>
              <w:t xml:space="preserve">$1,450.00</w:t>
            </w:r>
          </w:p>
        </w:tc>
        <w:tc>
          <w:tcPr/>
          <w:p>
            <w:pPr>
              <w:pStyle w:val="Compact"/>
              <w:jc w:val="left"/>
            </w:pPr>
            <w:r>
              <w:t xml:space="preserve">$26,100.00</w:t>
            </w:r>
          </w:p>
        </w:tc>
        <w:tc>
          <w:tcPr/>
          <w:p>
            <w:pPr>
              <w:pStyle w:val="Compact"/>
              <w:jc w:val="left"/>
            </w:pPr>
            <w:r>
              <w:t xml:space="preserve">Monthly progress reporting, budget tracking, and grant compliance</w:t>
            </w:r>
          </w:p>
        </w:tc>
      </w:tr>
      <w:tr>
        <w:tc>
          <w:tcPr>
            <w:gridSpan w:val="4"/>
          </w:tcPr>
          <w:p>
            <w:pPr>
              <w:pStyle w:val="Compact"/>
              <w:jc w:val="left"/>
            </w:pPr>
            <w:r>
              <w:t xml:space="preserve">TOTAL ESTIMATED COST (USD)</w:t>
            </w:r>
          </w:p>
        </w:tc>
        <w:tc>
          <w:tcPr/>
          <w:p>
            <w:pPr>
              <w:pStyle w:val="Compact"/>
              <w:jc w:val="left"/>
            </w:pPr>
            <w:r>
              <w:t xml:space="preserve">$514,100.00</w:t>
            </w:r>
          </w:p>
        </w:tc>
        <w:tc>
          <w:tcPr/>
          <w:p>
            <w:pPr>
              <w:pStyle w:val="Compact"/>
            </w:pP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issuance. After the expiration date, all rates and availability must be reconfirmed in writing by Texas Biomedical Research Associates, LLC.</w:t>
      </w:r>
    </w:p>
    <w:p>
      <w:pPr>
        <w:pStyle w:val="BodyText"/>
      </w:pPr>
      <w:r>
        <w:rPr>
          <w:bCs/>
          <w:b/>
        </w:rPr>
        <w:t xml:space="preserve">3.2 Payment Schedule:</w:t>
      </w:r>
      <w:r>
        <w:t xml:space="preserve"> </w:t>
      </w:r>
      <w:r>
        <w:t xml:space="preserve">Invoicing will be conducted on a monthly basis, due within thirty (30) days of invoice receipt. A 1.5% late payment surcharge will apply to balances outstanding beyond the due date. An initial mobilization payment of 15% of the total Quotation Estimate value is required upon contract execution.</w:t>
      </w:r>
    </w:p>
    <w:p>
      <w:pPr>
        <w:pStyle w:val="BodyText"/>
      </w:pPr>
      <w:r>
        <w:rPr>
          <w:bCs/>
          <w:b/>
        </w:rPr>
        <w:t xml:space="preserve">3.3 Scope Changes:</w:t>
      </w:r>
      <w:r>
        <w:t xml:space="preserve"> </w:t>
      </w:r>
      <w:r>
        <w:t xml:space="preserve">Any modification to the scope of the Medical Researcher's duties, additional clinical sites, or extended project duration beyond the 18-month term will require a formal Change Order signed by both parties. Revised costs will be itemized in a supplemental Quotation Estimate.</w:t>
      </w:r>
    </w:p>
    <w:p>
      <w:pPr>
        <w:pStyle w:val="BodyText"/>
      </w:pPr>
      <w:r>
        <w:rPr>
          <w:bCs/>
          <w:b/>
        </w:rPr>
        <w:t xml:space="preserve">3.4 Confidentiality &amp; IP:</w:t>
      </w:r>
      <w:r>
        <w:t xml:space="preserve"> </w:t>
      </w:r>
      <w:r>
        <w:t xml:space="preserve">All data, findings, and intellectual property generated by the Medical Researcher during the engagement in United States Houston shall remain the exclusive property of Houston Methodist Research Institute. The Medical Researcher is bound by a Non-Disclosure Agreement (NDA) and the NIH data-sharing policies applicable to the funded grant.</w:t>
      </w:r>
    </w:p>
    <w:p>
      <w:pPr>
        <w:pStyle w:val="BodyText"/>
      </w:pPr>
      <w:r>
        <w:rPr>
          <w:bCs/>
          <w:b/>
        </w:rPr>
        <w:t xml:space="preserve">3.5 Termination:</w:t>
      </w:r>
      <w:r>
        <w:t xml:space="preserve"> </w:t>
      </w:r>
      <w:r>
        <w:t xml:space="preserve">Either party may terminate the engagement with sixty (60) days' written notice. In the event of early termination, all costs incurred up to the termination date, plus a 10% wind-down fee, shall be invoiced and settled within 45 days.</w:t>
      </w:r>
    </w:p>
    <w:p>
      <w:pPr>
        <w:pStyle w:val="BodyText"/>
      </w:pPr>
      <w:r>
        <w:rPr>
          <w:bCs/>
          <w:b/>
        </w:rPr>
        <w:t xml:space="preserve">3.6 Governing Law:</w:t>
      </w:r>
      <w:r>
        <w:t xml:space="preserve"> </w:t>
      </w:r>
      <w:r>
        <w:t xml:space="preserve">This Quotation Estimate and any resulting contract shall be governed by the laws of the State of Texas, United States. Disputes shall be resolved through binding arbitration in Houston, Texas, in accordance with the rules of the American Arbitration Association.</w:t>
      </w:r>
    </w:p>
    <w:p>
      <w:pPr>
        <w:pStyle w:val="BodyText"/>
      </w:pPr>
      <w:r>
        <w:rPr>
          <w:bCs/>
          <w:b/>
        </w:rPr>
        <w:t xml:space="preserve">3.7 Insurance:</w:t>
      </w:r>
      <w:r>
        <w:t xml:space="preserve"> </w:t>
      </w:r>
      <w:r>
        <w:t xml:space="preserve">The Medical Researcher shall maintain professional liability insurance with a minimum coverage of $2,000,000 per occurrence, naming Houston Methodist Research Institute as an additional insured party.</w:t>
      </w:r>
    </w:p>
    <w:bookmarkEnd w:id="25"/>
    <w:bookmarkStart w:id="26" w:name="acceptance-and-authorization"/>
    <w:p>
      <w:pPr>
        <w:pStyle w:val="Heading2"/>
      </w:pPr>
      <w:r>
        <w:t xml:space="preserve">4. Acceptance and Authorization</w:t>
      </w:r>
    </w:p>
    <w:p>
      <w:pPr>
        <w:pStyle w:val="FirstParagraph"/>
      </w:pPr>
      <w:r>
        <w:t xml:space="preserve">By signing below, the undersigned parties acknowledge and accept the terms, conditions, and cost structure outlined in this Quotation Estimate. This document, once countersigned, shall serve as the basis for the formal Service Agreement between Texas Biomedical Research Associates, LLC and Houston Methodist Research Institute for the engagement of the Medical Researcher in United States Houston.</w:t>
      </w:r>
    </w:p>
    <w:p>
      <w:pPr>
        <w:pStyle w:val="BodyText"/>
      </w:pPr>
      <w:r>
        <w:rPr>
          <w:bCs/>
          <w:b/>
        </w:rPr>
        <w:t xml:space="preserve">For: Texas Biomedical Research Associates, LLC</w:t>
      </w:r>
    </w:p>
    <w:p>
      <w:pPr>
        <w:pStyle w:val="BodyText"/>
      </w:pPr>
      <w:r>
        <w:t xml:space="preserve">Name: ______________________________</w:t>
      </w:r>
    </w:p>
    <w:p>
      <w:pPr>
        <w:pStyle w:val="BodyText"/>
      </w:pPr>
      <w:r>
        <w:t xml:space="preserve">Title: Director of Research Operations</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Houston Methodist Research Institute</w:t>
      </w:r>
    </w:p>
    <w:p>
      <w:pPr>
        <w:pStyle w:val="BodyText"/>
      </w:pPr>
      <w:r>
        <w:t xml:space="preserve">Name: Dr. Margaret Ellison, MD, PhD</w:t>
      </w:r>
    </w:p>
    <w:p>
      <w:pPr>
        <w:pStyle w:val="BodyText"/>
      </w:pPr>
      <w:r>
        <w:t xml:space="preserve">Title: Principal Investigator</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was prepared exclusively for the named recipient and may not be transferred or used for any other purpose without prior written consent. © 2025 Texas Biomedical Research Associates, LLC – Houston, Texas, United States.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United States Houston</dc:title>
  <dc:creator/>
  <dc:language>en</dc:language>
  <cp:keywords/>
  <dcterms:created xsi:type="dcterms:W3CDTF">2026-10-10T06:32:33Z</dcterms:created>
  <dcterms:modified xsi:type="dcterms:W3CDTF">2026-10-10T06:32:33Z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