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United States Miami, Florida 33131</w:t>
      </w:r>
    </w:p>
    <w:p>
      <w:pPr>
        <w:pStyle w:val="BodyText"/>
      </w:pPr>
      <w:r>
        <w:t xml:space="preserve">Document Reference: QTE-MR-2025-0472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Number</w:t>
            </w:r>
          </w:p>
        </w:tc>
        <w:tc>
          <w:tcPr/>
          <w:p>
            <w:pPr>
              <w:pStyle w:val="Compact"/>
              <w:jc w:val="left"/>
            </w:pPr>
            <w:r>
              <w:t xml:space="preserve">QTE-MR-2025-0472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Elena Vasquez, Ph.D. – Lead Medical Researcher</w:t>
            </w:r>
          </w:p>
        </w:tc>
      </w:tr>
      <w:tr>
        <w:tc>
          <w:tcPr/>
          <w:p>
            <w:pPr>
              <w:pStyle w:val="Compact"/>
              <w:jc w:val="left"/>
            </w:pPr>
            <w:r>
              <w:t xml:space="preserve">Prepared For</w:t>
            </w:r>
          </w:p>
        </w:tc>
        <w:tc>
          <w:tcPr/>
          <w:p>
            <w:pPr>
              <w:pStyle w:val="Compact"/>
              <w:jc w:val="left"/>
            </w:pPr>
            <w:r>
              <w:t xml:space="preserve">Atlantic Coast Biomedical Institute, 4200 Biscayne Blvd, United States Miami, FL 33137</w:t>
            </w:r>
          </w:p>
        </w:tc>
      </w:tr>
      <w:tr>
        <w:tc>
          <w:tcPr/>
          <w:p>
            <w:pPr>
              <w:pStyle w:val="Compact"/>
              <w:jc w:val="left"/>
            </w:pPr>
            <w:r>
              <w:t xml:space="preserve">Project Location</w:t>
            </w:r>
          </w:p>
        </w:tc>
        <w:tc>
          <w:tcPr/>
          <w:p>
            <w:pPr>
              <w:pStyle w:val="Compact"/>
              <w:jc w:val="left"/>
            </w:pPr>
            <w:r>
              <w:t xml:space="preserve">United States Miami, Florida – Primary Research Facility</w:t>
            </w:r>
          </w:p>
        </w:tc>
      </w:tr>
      <w:tr>
        <w:tc>
          <w:tcPr/>
          <w:p>
            <w:pPr>
              <w:pStyle w:val="Compact"/>
              <w:jc w:val="left"/>
            </w:pPr>
            <w:r>
              <w:t xml:space="preserve">Currency</w:t>
            </w:r>
          </w:p>
        </w:tc>
        <w:tc>
          <w:tcPr/>
          <w:p>
            <w:pPr>
              <w:pStyle w:val="Compact"/>
              <w:jc w:val="left"/>
            </w:pPr>
            <w:r>
              <w:t xml:space="preserve">United States Dollars (USD)</w:t>
            </w:r>
          </w:p>
        </w:tc>
      </w:tr>
    </w:tbl>
    <w:bookmarkStart w:id="21" w:name="Xb1e69cda2657fb3522d5f06f68500be55311324"/>
    <w:p>
      <w:pPr>
        <w:pStyle w:val="Heading2"/>
      </w:pPr>
      <w:r>
        <w:t xml:space="preserve">1. Scope of Services – Medical Researcher Engagement</w:t>
      </w:r>
    </w:p>
    <w:p>
      <w:pPr>
        <w:pStyle w:val="FirstParagraph"/>
      </w:pPr>
      <w:r>
        <w:t xml:space="preserve">This Quotation Estimate is issued in response to the formal request submitted by Atlantic Coast Biomedical Institute for the engagement of a qualified Medical Researcher to conduct a comprehensive longitudinal study on cardiovascular biomarkers in the diverse population of the United States Miami metropolitan area. The Medical Researcher will be responsible for designing, executing, and reporting on all phases of the research protocol in full compliance with the United States Food and Drug Administration (FDA) guidelines, the Institutional Review Board (IRB) standards, and all applicable federal and Florida state regulations governing human subject research.</w:t>
      </w:r>
    </w:p>
    <w:p>
      <w:pPr>
        <w:pStyle w:val="BodyText"/>
      </w:pPr>
      <w:r>
        <w:t xml:space="preserve">The Medical Researcher engagement is specifically tailored to the unique demographic, environmental, and clinical landscape of United States Miami, where the high concentration of Hispanic and Caribbean-origin populations presents a critical opportunity for advancing cardiovascular genomics and pharmacogenomics research. All fieldwork, data collection, and laboratory analysis will be conducted within the United States Miami research corridor, utilizing the institute's on-site facilities and partnered clinical sites in Dade and Broward Counties.</w:t>
      </w:r>
    </w:p>
    <w:bookmarkEnd w:id="21"/>
    <w:bookmarkStart w:id="22"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Medical Researcher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Medical Researcher – Protocol Design &amp; IRB Submission (United States Miami site-specific adaptation)</w:t>
            </w:r>
          </w:p>
        </w:tc>
        <w:tc>
          <w:tcPr/>
          <w:p>
            <w:pPr>
              <w:pStyle w:val="Compact"/>
              <w:jc w:val="left"/>
            </w:pPr>
            <w:r>
              <w:t xml:space="preserve">4 weeks</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Medical Researcher – Participant Recruitment &amp; Screening (United States Miami community outreach, multilingual)</w:t>
            </w:r>
          </w:p>
        </w:tc>
        <w:tc>
          <w:tcPr/>
          <w:p>
            <w:pPr>
              <w:pStyle w:val="Compact"/>
              <w:jc w:val="left"/>
            </w:pPr>
            <w:r>
              <w:t xml:space="preserve">8 weeks</w:t>
            </w:r>
          </w:p>
        </w:tc>
        <w:tc>
          <w:tcPr/>
          <w:p>
            <w:pPr>
              <w:pStyle w:val="Compact"/>
              <w:jc w:val="left"/>
            </w:pPr>
            <w:r>
              <w:t xml:space="preserve">$22,000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Medical Researcher – Clinical Data Collection &amp; Biomarker Assays (on-site, United States Miami lab)</w:t>
            </w:r>
          </w:p>
        </w:tc>
        <w:tc>
          <w:tcPr/>
          <w:p>
            <w:pPr>
              <w:pStyle w:val="Compact"/>
              <w:jc w:val="left"/>
            </w:pPr>
            <w:r>
              <w:t xml:space="preserve">16 weeks</w:t>
            </w:r>
          </w:p>
        </w:tc>
        <w:tc>
          <w:tcPr/>
          <w:p>
            <w:pPr>
              <w:pStyle w:val="Compact"/>
              <w:jc w:val="left"/>
            </w:pPr>
            <w:r>
              <w:t xml:space="preserve">$45,000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Medical Researcher – Statistical Analysis &amp; Genomic Sequencing Oversight</w:t>
            </w:r>
          </w:p>
        </w:tc>
        <w:tc>
          <w:tcPr/>
          <w:p>
            <w:pPr>
              <w:pStyle w:val="Compact"/>
              <w:jc w:val="left"/>
            </w:pPr>
            <w:r>
              <w:t xml:space="preserve">6 weeks</w:t>
            </w:r>
          </w:p>
        </w:tc>
        <w:tc>
          <w:tcPr/>
          <w:p>
            <w:pPr>
              <w:pStyle w:val="Compact"/>
              <w:jc w:val="left"/>
            </w:pPr>
            <w:r>
              <w:t xml:space="preserve">$28,000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Medical Researcher – Manuscript Preparation, Peer Review Response &amp; Conference Presentation (Miami International Medical Symposium)</w:t>
            </w:r>
          </w:p>
        </w:tc>
        <w:tc>
          <w:tcPr/>
          <w:p>
            <w:pPr>
              <w:pStyle w:val="Compact"/>
              <w:jc w:val="left"/>
            </w:pPr>
            <w:r>
              <w:t xml:space="preserve">4 weeks</w:t>
            </w:r>
          </w:p>
        </w:tc>
        <w:tc>
          <w:tcPr/>
          <w:p>
            <w:pPr>
              <w:pStyle w:val="Compact"/>
              <w:jc w:val="left"/>
            </w:pPr>
            <w:r>
              <w:t xml:space="preserve">$12,500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Medical Researcher – Regulatory Compliance &amp; FDA 341 Reporting (United States Miami jurisdiction)</w:t>
            </w:r>
          </w:p>
        </w:tc>
        <w:tc>
          <w:tcPr/>
          <w:p>
            <w:pPr>
              <w:pStyle w:val="Compact"/>
              <w:jc w:val="left"/>
            </w:pPr>
            <w:r>
              <w:t xml:space="preserve">Ongoing</w:t>
            </w:r>
          </w:p>
        </w:tc>
        <w:tc>
          <w:tcPr/>
          <w:p>
            <w:pPr>
              <w:pStyle w:val="Compact"/>
              <w:jc w:val="left"/>
            </w:pPr>
            <w:r>
              <w:t xml:space="preserve">$9,800</w:t>
            </w:r>
          </w:p>
        </w:tc>
        <w:tc>
          <w:tcPr/>
          <w:p>
            <w:pPr>
              <w:pStyle w:val="Compact"/>
              <w:jc w:val="left"/>
            </w:pPr>
            <w:r>
              <w:t xml:space="preserve">$9,800.00</w:t>
            </w:r>
          </w:p>
        </w:tc>
      </w:tr>
      <w:tr>
        <w:tc>
          <w:tcPr/>
          <w:p>
            <w:pPr>
              <w:pStyle w:val="Compact"/>
              <w:jc w:val="left"/>
            </w:pPr>
            <w:r>
              <w:t xml:space="preserve">07</w:t>
            </w:r>
          </w:p>
        </w:tc>
        <w:tc>
          <w:tcPr/>
          <w:p>
            <w:pPr>
              <w:pStyle w:val="Compact"/>
              <w:jc w:val="left"/>
            </w:pPr>
            <w:r>
              <w:t xml:space="preserve">Travel, Per Diem &amp; Local Transportation within United States Miami metro area</w:t>
            </w:r>
          </w:p>
        </w:tc>
        <w:tc>
          <w:tcPr/>
          <w:p>
            <w:pPr>
              <w:pStyle w:val="Compact"/>
              <w:jc w:val="left"/>
            </w:pPr>
            <w:r>
              <w:t xml:space="preserve">48 weeks</w:t>
            </w:r>
          </w:p>
        </w:tc>
        <w:tc>
          <w:tcPr/>
          <w:p>
            <w:pPr>
              <w:pStyle w:val="Compact"/>
              <w:jc w:val="left"/>
            </w:pPr>
            <w:r>
              <w:t xml:space="preserve">$6,200</w:t>
            </w:r>
          </w:p>
        </w:tc>
        <w:tc>
          <w:tcPr/>
          <w:p>
            <w:pPr>
              <w:pStyle w:val="Compact"/>
              <w:jc w:val="left"/>
            </w:pPr>
            <w:r>
              <w:t xml:space="preserve">$6,200.00</w:t>
            </w:r>
          </w:p>
        </w:tc>
      </w:tr>
      <w:tr>
        <w:tc>
          <w:tcPr/>
          <w:p>
            <w:pPr>
              <w:pStyle w:val="Compact"/>
              <w:jc w:val="left"/>
            </w:pPr>
            <w:r>
              <w:t xml:space="preserve">08</w:t>
            </w:r>
          </w:p>
        </w:tc>
        <w:tc>
          <w:tcPr/>
          <w:p>
            <w:pPr>
              <w:pStyle w:val="Compact"/>
              <w:jc w:val="left"/>
            </w:pPr>
            <w:r>
              <w:t xml:space="preserve">Contingency &amp; Unforeseen Clinical Variables (8%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$8,792.00</w:t>
            </w:r>
          </w:p>
        </w:tc>
      </w:tr>
    </w:tbl>
    <w:p>
      <w:pPr>
        <w:pStyle w:val="BodyText"/>
      </w:pPr>
      <w:r>
        <w:t xml:space="preserve">Subtotal: $142,000.00</w:t>
      </w:r>
    </w:p>
    <w:p>
      <w:pPr>
        <w:pStyle w:val="BodyText"/>
      </w:pPr>
      <w:r>
        <w:t xml:space="preserve">Applicable Florida State Sales Tax (exempt – professional services): $0.00</w:t>
      </w:r>
    </w:p>
    <w:p>
      <w:pPr>
        <w:pStyle w:val="BodyText"/>
      </w:pPr>
      <w:r>
        <w:t xml:space="preserve">TOTAL QUOTATION ESTIMATE: $150,792.00 USD</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expiration date, all rates and availability of the Medical Researcher must be reconfirmed in writing.</w:t>
      </w:r>
    </w:p>
    <w:p>
      <w:pPr>
        <w:numPr>
          <w:ilvl w:val="0"/>
          <w:numId w:val="1001"/>
        </w:numPr>
        <w:pStyle w:val="Compact"/>
      </w:pPr>
      <w:r>
        <w:t xml:space="preserve">Payment terms: 30% upon execution of the master service agreement, 40% upon completion of the data collection phase, and 30% upon final delivery of the research report and manuscript. All payments are due in United States Dollars via wire transfer to the designated account in United States Miami, Florida.</w:t>
      </w:r>
    </w:p>
    <w:p>
      <w:pPr>
        <w:numPr>
          <w:ilvl w:val="0"/>
          <w:numId w:val="1001"/>
        </w:numPr>
        <w:pStyle w:val="Compact"/>
      </w:pPr>
      <w:r>
        <w:t xml:space="preserve">The Medical Researcher retains full intellectual property rights over proprietary methodologies, analytical algorithms, and unpublished findings unless otherwise stipulated in a separate licensing agreement. The client receives a non-exclusive, non-transferable license to use the final published results for academic and institutional purposes.</w:t>
      </w:r>
    </w:p>
    <w:p>
      <w:pPr>
        <w:numPr>
          <w:ilvl w:val="0"/>
          <w:numId w:val="1001"/>
        </w:numPr>
        <w:pStyle w:val="Compact"/>
      </w:pPr>
      <w:r>
        <w:t xml:space="preserve">All research activities conducted under this Quotation Estimate shall comply with the United States Common Rule (45 CFR 46), the FDA 21 CFR Parts 50, 56, and 312, and the Florida Administrative Code Chapter 64B5. The Medical Researcher shall maintain current Good Clinical Practice (GCP) certification throughout the engagement.</w:t>
      </w:r>
    </w:p>
    <w:p>
      <w:pPr>
        <w:numPr>
          <w:ilvl w:val="0"/>
          <w:numId w:val="1001"/>
        </w:numPr>
        <w:pStyle w:val="Compact"/>
      </w:pPr>
      <w:r>
        <w:t xml:space="preserve">Any scope modifications, additional participant cohorts, or extended timelines beyond the 48-week project window will be subject to a revised Quotation Estimate issued as a formal change order. No additional work will commence without written authorization from both parties.</w:t>
      </w:r>
    </w:p>
    <w:p>
      <w:pPr>
        <w:numPr>
          <w:ilvl w:val="0"/>
          <w:numId w:val="1001"/>
        </w:numPr>
        <w:pStyle w:val="Compact"/>
      </w:pPr>
      <w:r>
        <w:t xml:space="preserve">The Medical Researcher shall carry professional liability insurance with a minimum coverage of $2,000,000 per occurrence, naming the client as an additional insured. Certificates of insurance shall be provided prior to the commencement of fieldwork in United States Miami.</w:t>
      </w:r>
    </w:p>
    <w:p>
      <w:pPr>
        <w:numPr>
          <w:ilvl w:val="0"/>
          <w:numId w:val="1001"/>
        </w:numPr>
        <w:pStyle w:val="Compact"/>
      </w:pPr>
      <w:r>
        <w:t xml:space="preserve">This Quotation Estimate does not constitute a binding contract until both parties have executed the definitive Master Service Agreement. All terms herein are subject to the final contractual language.</w:t>
      </w:r>
    </w:p>
    <w:p>
      <w:pPr>
        <w:numPr>
          <w:ilvl w:val="0"/>
          <w:numId w:val="1001"/>
        </w:numPr>
        <w:pStyle w:val="Compact"/>
      </w:pPr>
      <w:r>
        <w:t xml:space="preserve">Disputes arising from this Quotation Estimate or the subsequent agreement shall be resolved through binding arbitration in United States Miami, Florida, in accordance with the rules of the American Arbitration Association.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Medical Researcher services in United States Miami and agrees to the terms, conditions, and pricing outlined herein. The Medical Researcher confirms availability and commitment to deliver all specified services within the stated timeline and quality standards.</w:t>
      </w:r>
    </w:p>
    <w:p>
      <w:pPr>
        <w:pStyle w:val="BodyText"/>
      </w:pPr>
      <w:r>
        <w:rPr>
          <w:bCs/>
          <w:b/>
        </w:rPr>
        <w:t xml:space="preserve">For the Client – Atlantic Coast Biomedical Institute</w:t>
      </w:r>
      <w:r>
        <w:br/>
      </w:r>
      <w:r>
        <w:br/>
      </w:r>
      <w:r>
        <w:t xml:space="preserve">Signature: ______________________________</w:t>
      </w:r>
      <w:r>
        <w:br/>
      </w:r>
      <w:r>
        <w:t xml:space="preserve">Name: Dr. Marcus Thornton, M.D., Ph.D.</w:t>
      </w:r>
      <w:r>
        <w:br/>
      </w:r>
      <w:r>
        <w:t xml:space="preserve">Title: Director of Clinical Research</w:t>
      </w:r>
      <w:r>
        <w:br/>
      </w:r>
      <w:r>
        <w:t xml:space="preserve">Date: ______________________________</w:t>
      </w:r>
    </w:p>
    <w:p>
      <w:pPr>
        <w:pStyle w:val="BodyText"/>
      </w:pPr>
      <w:r>
        <w:rPr>
          <w:bCs/>
          <w:b/>
        </w:rPr>
        <w:t xml:space="preserve">For the Medical Researcher</w:t>
      </w:r>
      <w:r>
        <w:br/>
      </w:r>
      <w:r>
        <w:br/>
      </w:r>
      <w:r>
        <w:t xml:space="preserve">Signature: ______________________________</w:t>
      </w:r>
      <w:r>
        <w:br/>
      </w:r>
      <w:r>
        <w:t xml:space="preserve">Name: Dr. Elena Vasquez, Ph.D.</w:t>
      </w:r>
      <w:r>
        <w:br/>
      </w:r>
      <w:r>
        <w:t xml:space="preserve">Title: Lead Medical Researcher</w:t>
      </w:r>
      <w:r>
        <w:br/>
      </w:r>
      <w:r>
        <w:t xml:space="preserve">Date: ______________________________</w:t>
      </w:r>
    </w:p>
    <w:p>
      <w:pPr>
        <w:pStyle w:val="BodyText"/>
      </w:pPr>
      <w:r>
        <w:t xml:space="preserve">Quotation Estimate QTE-MR-2025-0472 | Medical Researcher Services | United States Miami, Florida</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United States Miami</dc:title>
  <dc:creator/>
  <dc:language>en</dc:language>
  <cp:keywords/>
  <dcterms:created xsi:type="dcterms:W3CDTF">2026-10-10T04:19:33Z</dcterms:created>
  <dcterms:modified xsi:type="dcterms:W3CDTF">2026-10-10T04:19:33Z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