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Uzbekistan Tashkent | Central Asia Research &amp; Consulting Group</w:t>
      </w:r>
    </w:p>
    <w:p>
      <w:pPr>
        <w:pStyle w:val="BodyText"/>
      </w:pPr>
      <w:r>
        <w:t xml:space="preserve">12 Amir Temur Avenue, Tashkent, 100000, Republic of Uzbekistan</w:t>
      </w:r>
    </w:p>
    <w:p>
      <w:pPr>
        <w:pStyle w:val="BodyText"/>
      </w:pPr>
      <w:r>
        <w:t xml:space="preserve">Tel: +998 (71) 200-45-67 | Email: estimates@carcg.uz</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QTE-2025-TSK-0487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For</w:t>
            </w:r>
          </w:p>
        </w:tc>
        <w:tc>
          <w:tcPr/>
          <w:p>
            <w:pPr>
              <w:pStyle w:val="Compact"/>
              <w:jc w:val="left"/>
            </w:pPr>
            <w:r>
              <w:t xml:space="preserve">Tashkent State Medical University, Department of Clinical Research, 14 Universitetskaya Street, Tashkent, 100170, Uzbekistan</w:t>
            </w:r>
          </w:p>
        </w:tc>
      </w:tr>
      <w:tr>
        <w:tc>
          <w:tcPr/>
          <w:p>
            <w:pPr>
              <w:pStyle w:val="Compact"/>
              <w:jc w:val="left"/>
            </w:pPr>
            <w:r>
              <w:t xml:space="preserve">Prepared By</w:t>
            </w:r>
          </w:p>
        </w:tc>
        <w:tc>
          <w:tcPr/>
          <w:p>
            <w:pPr>
              <w:pStyle w:val="Compact"/>
              <w:jc w:val="left"/>
            </w:pPr>
            <w:r>
              <w:t xml:space="preserve">Dr. Aziz Karimov, Senior Medical Researcher &amp; Lead Consultant, Central Asia Research &amp; Consulting Group</w:t>
            </w:r>
          </w:p>
        </w:tc>
      </w:tr>
      <w:tr>
        <w:tc>
          <w:tcPr/>
          <w:p>
            <w:pPr>
              <w:pStyle w:val="Compact"/>
              <w:jc w:val="left"/>
            </w:pPr>
            <w:r>
              <w:t xml:space="preserve">Currency</w:t>
            </w:r>
          </w:p>
        </w:tc>
        <w:tc>
          <w:tcPr/>
          <w:p>
            <w:pPr>
              <w:pStyle w:val="Compact"/>
              <w:jc w:val="left"/>
            </w:pPr>
            <w:r>
              <w:t xml:space="preserve">Uzbekistan Som (UZS) / US Dollar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Central Asia Research &amp; Consulting Group to provide a comprehensive, itemized financial breakdown for the engagement of a qualified</w:t>
      </w:r>
      <w:r>
        <w:t xml:space="preserve"> </w:t>
      </w:r>
      <w:r>
        <w:t xml:space="preserve">Medical Researcher</w:t>
      </w:r>
      <w:r>
        <w:t xml:space="preserve"> </w:t>
      </w:r>
      <w:r>
        <w:t xml:space="preserve">to conduct a multi-phase clinical and epidemiological study within the Tashkent metropolitan area, Republic of Uzbekistan. The scope of work encompasses literature review, protocol design, data collection, statistical analysis, peer-reviewed manuscript preparation, and final reporting. All services described herein are tailored specifically to the regulatory, linguistic, and institutional environment of</w:t>
      </w:r>
      <w:r>
        <w:t xml:space="preserve"> </w:t>
      </w:r>
      <w:r>
        <w:t xml:space="preserve">Uzbekistan Tashkent</w:t>
      </w:r>
      <w:r>
        <w:t xml:space="preserve">, ensuring full compliance with the Ministry of Health of the Republic of Uzbekistan guidelines and the ethical standards of the Tashkent Regional Ethics Committee.</w:t>
      </w:r>
    </w:p>
    <w:bookmarkEnd w:id="21"/>
    <w:bookmarkStart w:id="22" w:name="Xafe0f12e32f5dfb4fd7589160a293f57685dfd6"/>
    <w:p>
      <w:pPr>
        <w:pStyle w:val="Heading2"/>
      </w:pPr>
      <w:r>
        <w:t xml:space="preserve">2. Detailed Scope of Services – Medical Researcher Engagement</w:t>
      </w:r>
    </w:p>
    <w:p>
      <w:pPr>
        <w:pStyle w:val="FirstParagraph"/>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will perform the following duties over a projected twelve-month period:</w:t>
      </w:r>
    </w:p>
    <w:p>
      <w:pPr>
        <w:numPr>
          <w:ilvl w:val="0"/>
          <w:numId w:val="1001"/>
        </w:numPr>
        <w:pStyle w:val="Compact"/>
      </w:pPr>
      <w:r>
        <w:rPr>
          <w:bCs/>
          <w:b/>
        </w:rPr>
        <w:t xml:space="preserve">Phase 1 – Protocol Development (Months 1–2):</w:t>
      </w:r>
      <w:r>
        <w:t xml:space="preserve"> </w:t>
      </w:r>
      <w:r>
        <w:t xml:space="preserve">Design of a randomized controlled trial protocol addressing cardiovascular risk factors among urban populations in Tashkent. Preparation of informed consent forms in both Uzbek and Russian languages. Submission of the protocol to the Tashkent Regional Ethics Committee for approval.</w:t>
      </w:r>
    </w:p>
    <w:p>
      <w:pPr>
        <w:numPr>
          <w:ilvl w:val="0"/>
          <w:numId w:val="1001"/>
        </w:numPr>
        <w:pStyle w:val="Compact"/>
      </w:pPr>
      <w:r>
        <w:rPr>
          <w:bCs/>
          <w:b/>
        </w:rPr>
        <w:t xml:space="preserve">Phase 2 – Recruitment and Data Collection (Months 3–7):</w:t>
      </w:r>
      <w:r>
        <w:t xml:space="preserve"> </w:t>
      </w:r>
      <w:r>
        <w:t xml:space="preserve">Enrollment of 400 participants across three major hospitals in Tashkent (City Clinical Hospital No. 1, Republican Clinical Hospital, and Tashkent City Hospital No. 2). Administration of standardized questionnaires, blood sampling, and biometric measurements. The Medical Researcher will supervise a team of four research assistants and two data entry clerks.</w:t>
      </w:r>
    </w:p>
    <w:p>
      <w:pPr>
        <w:numPr>
          <w:ilvl w:val="0"/>
          <w:numId w:val="1001"/>
        </w:numPr>
        <w:pStyle w:val="Compact"/>
      </w:pPr>
      <w:r>
        <w:rPr>
          <w:bCs/>
          <w:b/>
        </w:rPr>
        <w:t xml:space="preserve">Phase 3 – Laboratory and Statistical Analysis (Months 8–10):</w:t>
      </w:r>
      <w:r>
        <w:t xml:space="preserve"> </w:t>
      </w:r>
      <w:r>
        <w:t xml:space="preserve">Coordination with the Tashkent Regional Laboratory Center for biomarker assays. Application of multivariate regression models, survival analysis, and propensity score matching using SPSS and R statistical software.</w:t>
      </w:r>
    </w:p>
    <w:p>
      <w:pPr>
        <w:numPr>
          <w:ilvl w:val="0"/>
          <w:numId w:val="1001"/>
        </w:numPr>
        <w:pStyle w:val="Compact"/>
      </w:pPr>
      <w:r>
        <w:rPr>
          <w:bCs/>
          <w:b/>
        </w:rPr>
        <w:t xml:space="preserve">Phase 4 – Reporting and Dissemination (Months 11–12):</w:t>
      </w:r>
      <w:r>
        <w:t xml:space="preserve"> </w:t>
      </w:r>
      <w:r>
        <w:t xml:space="preserve">Preparation of a final research report (minimum 80 pages), submission of a manuscript to a Q1-indexed international journal, and presentation of findings at the Annual Tashkent Medical Research Conference.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Cost (USD)</w:t>
            </w:r>
          </w:p>
        </w:tc>
      </w:tr>
      <w:tr>
        <w:tc>
          <w:tcPr/>
          <w:p>
            <w:pPr>
              <w:pStyle w:val="Compact"/>
              <w:jc w:val="left"/>
            </w:pPr>
            <w:r>
              <w:t xml:space="preserve">1</w:t>
            </w:r>
          </w:p>
        </w:tc>
        <w:tc>
          <w:tcPr/>
          <w:p>
            <w:pPr>
              <w:pStyle w:val="Compact"/>
              <w:jc w:val="left"/>
            </w:pPr>
            <w:r>
              <w:t xml:space="preserve">Senior Medical Researcher – Monthly Professional Fee (PhD, 15+ years clinical research experience)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Research Assistants (4 personnel) – Monthly Stipend</w:t>
            </w:r>
          </w:p>
        </w:tc>
        <w:tc>
          <w:tcPr/>
          <w:p>
            <w:pPr>
              <w:pStyle w:val="Compact"/>
              <w:jc w:val="left"/>
            </w:pPr>
            <w:r>
              <w:t xml:space="preserve">12 months</w:t>
            </w:r>
          </w:p>
        </w:tc>
        <w:tc>
          <w:tcPr/>
          <w:p>
            <w:pPr>
              <w:pStyle w:val="Compact"/>
              <w:jc w:val="left"/>
            </w:pPr>
            <w:r>
              <w:t xml:space="preserve">$1,200.00 each</w:t>
            </w:r>
          </w:p>
        </w:tc>
        <w:tc>
          <w:tcPr/>
          <w:p>
            <w:pPr>
              <w:pStyle w:val="Compact"/>
              <w:jc w:val="left"/>
            </w:pPr>
            <w:r>
              <w:t xml:space="preserve">$57,600.00</w:t>
            </w:r>
          </w:p>
        </w:tc>
      </w:tr>
      <w:tr>
        <w:tc>
          <w:tcPr/>
          <w:p>
            <w:pPr>
              <w:pStyle w:val="Compact"/>
              <w:jc w:val="left"/>
            </w:pPr>
            <w:r>
              <w:t xml:space="preserve">3</w:t>
            </w:r>
          </w:p>
        </w:tc>
        <w:tc>
          <w:tcPr/>
          <w:p>
            <w:pPr>
              <w:pStyle w:val="Compact"/>
              <w:jc w:val="left"/>
            </w:pPr>
            <w:r>
              <w:t xml:space="preserve">Data Entry Clerks (2 personnel) – Monthly Stipend</w:t>
            </w:r>
          </w:p>
        </w:tc>
        <w:tc>
          <w:tcPr/>
          <w:p>
            <w:pPr>
              <w:pStyle w:val="Compact"/>
              <w:jc w:val="left"/>
            </w:pPr>
            <w:r>
              <w:t xml:space="preserve">12 months</w:t>
            </w:r>
          </w:p>
        </w:tc>
        <w:tc>
          <w:tcPr/>
          <w:p>
            <w:pPr>
              <w:pStyle w:val="Compact"/>
              <w:jc w:val="left"/>
            </w:pPr>
            <w:r>
              <w:t xml:space="preserve">$700.00 each</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Ethics Committee Submission and Approval Fees (Tashkent Regional EC)</w:t>
            </w:r>
          </w:p>
        </w:tc>
        <w:tc>
          <w:tcPr/>
          <w:p>
            <w:pPr>
              <w:pStyle w:val="Compact"/>
              <w:jc w:val="left"/>
            </w:pPr>
            <w:r>
              <w:t xml:space="preserve">1 submission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Laboratory Biomarker Assays (400 participants × 12 markers)</w:t>
            </w:r>
          </w:p>
        </w:tc>
        <w:tc>
          <w:tcPr/>
          <w:p>
            <w:pPr>
              <w:pStyle w:val="Compact"/>
              <w:jc w:val="left"/>
            </w:pPr>
            <w:r>
              <w:t xml:space="preserve">4,800 tests</w:t>
            </w:r>
          </w:p>
        </w:tc>
        <w:tc>
          <w:tcPr/>
          <w:p>
            <w:pPr>
              <w:pStyle w:val="Compact"/>
              <w:jc w:val="left"/>
            </w:pPr>
            <w:r>
              <w:t xml:space="preserve">$18.50</w:t>
            </w:r>
          </w:p>
        </w:tc>
        <w:tc>
          <w:tcPr/>
          <w:p>
            <w:pPr>
              <w:pStyle w:val="Compact"/>
              <w:jc w:val="left"/>
            </w:pPr>
            <w:r>
              <w:t xml:space="preserve">$88,800.00</w:t>
            </w:r>
          </w:p>
        </w:tc>
      </w:tr>
      <w:tr>
        <w:tc>
          <w:tcPr/>
          <w:p>
            <w:pPr>
              <w:pStyle w:val="Compact"/>
              <w:jc w:val="left"/>
            </w:pPr>
            <w:r>
              <w:t xml:space="preserve">6</w:t>
            </w:r>
          </w:p>
        </w:tc>
        <w:tc>
          <w:tcPr/>
          <w:p>
            <w:pPr>
              <w:pStyle w:val="Compact"/>
              <w:jc w:val="left"/>
            </w:pPr>
            <w:r>
              <w:t xml:space="preserve">Statistical Software Licenses (SPSS v.29, R Studio, Stata v.18)</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Participant Compensation and Transport Allowance (Tashkent area)</w:t>
            </w:r>
          </w:p>
        </w:tc>
        <w:tc>
          <w:tcPr/>
          <w:p>
            <w:pPr>
              <w:pStyle w:val="Compact"/>
              <w:jc w:val="left"/>
            </w:pPr>
            <w:r>
              <w:t xml:space="preserve">400 participants</w:t>
            </w:r>
          </w:p>
        </w:tc>
        <w:tc>
          <w:tcPr/>
          <w:p>
            <w:pPr>
              <w:pStyle w:val="Compact"/>
              <w:jc w:val="left"/>
            </w:pPr>
            <w:r>
              <w:t xml:space="preserve">$25.00</w:t>
            </w:r>
          </w:p>
        </w:tc>
        <w:tc>
          <w:tcPr/>
          <w:p>
            <w:pPr>
              <w:pStyle w:val="Compact"/>
              <w:jc w:val="left"/>
            </w:pPr>
            <w:r>
              <w:t xml:space="preserve">$10,000.00</w:t>
            </w:r>
          </w:p>
        </w:tc>
      </w:tr>
      <w:tr>
        <w:tc>
          <w:tcPr/>
          <w:p>
            <w:pPr>
              <w:pStyle w:val="Compact"/>
              <w:jc w:val="left"/>
            </w:pPr>
            <w:r>
              <w:t xml:space="preserve">8</w:t>
            </w:r>
          </w:p>
        </w:tc>
        <w:tc>
          <w:tcPr/>
          <w:p>
            <w:pPr>
              <w:pStyle w:val="Compact"/>
              <w:jc w:val="left"/>
            </w:pPr>
            <w:r>
              <w:t xml:space="preserve">Translation Services (Uzbek ↔ Russian ↔ English, all documents)</w:t>
            </w:r>
          </w:p>
        </w:tc>
        <w:tc>
          <w:tcPr/>
          <w:p>
            <w:pPr>
              <w:pStyle w:val="Compact"/>
              <w:jc w:val="left"/>
            </w:pPr>
            <w:r>
              <w:t xml:space="preserve">Project duration</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9</w:t>
            </w:r>
          </w:p>
        </w:tc>
        <w:tc>
          <w:tcPr/>
          <w:p>
            <w:pPr>
              <w:pStyle w:val="Compact"/>
              <w:jc w:val="left"/>
            </w:pPr>
            <w:r>
              <w:t xml:space="preserve">Manuscript Preparation, Journal Submission, and Open-Access Publication Fee</w:t>
            </w:r>
          </w:p>
        </w:tc>
        <w:tc>
          <w:tcPr/>
          <w:p>
            <w:pPr>
              <w:pStyle w:val="Compact"/>
              <w:jc w:val="left"/>
            </w:pPr>
            <w:r>
              <w:t xml:space="preserve">1 manuscript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Conference Presentation – Annual Tashkent Medical Research Conference (registration, travel, accommodation)</w:t>
            </w:r>
          </w:p>
        </w:tc>
        <w:tc>
          <w:tcPr/>
          <w:p>
            <w:pPr>
              <w:pStyle w:val="Compact"/>
              <w:jc w:val="left"/>
            </w:pPr>
            <w:r>
              <w:t xml:space="preserve">1 event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11</w:t>
            </w:r>
          </w:p>
        </w:tc>
        <w:tc>
          <w:tcPr/>
          <w:p>
            <w:pPr>
              <w:pStyle w:val="Compact"/>
              <w:jc w:val="left"/>
            </w:pPr>
            <w:r>
              <w:t xml:space="preserve">Office Space, Equipment, and Administrative Overhead (Tashkent office)</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12</w:t>
            </w:r>
          </w:p>
        </w:tc>
        <w:tc>
          <w:tcPr/>
          <w:p>
            <w:pPr>
              <w:pStyle w:val="Compact"/>
              <w:jc w:val="left"/>
            </w:pPr>
            <w:r>
              <w:t xml:space="preserve">Contingency and Unforeseen Expenses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$10,617.50</w:t>
            </w:r>
          </w:p>
        </w:tc>
      </w:tr>
      <w:tr>
        <w:tc>
          <w:tcPr>
            <w:gridSpan w:val="4"/>
          </w:tcPr>
          <w:p>
            <w:pPr>
              <w:pStyle w:val="Compact"/>
              <w:jc w:val="right"/>
            </w:pPr>
            <w:r>
              <w:t xml:space="preserve">GRAND TOTAL (USD)</w:t>
            </w:r>
          </w:p>
        </w:tc>
        <w:tc>
          <w:tcPr/>
          <w:p>
            <w:pPr>
              <w:pStyle w:val="Compact"/>
              <w:jc w:val="left"/>
            </w:pPr>
            <w:r>
              <w:t xml:space="preserve">$378,767.50</w:t>
            </w:r>
          </w:p>
        </w:tc>
      </w:tr>
      <w:tr>
        <w:tc>
          <w:tcPr>
            <w:gridSpan w:val="4"/>
          </w:tcPr>
          <w:p>
            <w:pPr>
              <w:pStyle w:val="Compact"/>
              <w:jc w:val="right"/>
            </w:pPr>
            <w:r>
              <w:t xml:space="preserve">GRAND TOTAL (UZS, at rate 1 USD = 12,800 UZS)</w:t>
            </w:r>
          </w:p>
        </w:tc>
        <w:tc>
          <w:tcPr/>
          <w:p>
            <w:pPr>
              <w:pStyle w:val="Compact"/>
              <w:jc w:val="left"/>
            </w:pPr>
            <w:r>
              <w:t xml:space="preserve">4,848,224,000 UZS</w:t>
            </w:r>
          </w:p>
        </w:tc>
      </w:tr>
    </w:tbl>
    <w:bookmarkEnd w:id="23"/>
    <w:bookmarkStart w:id="24" w:name="payment-terms-and-schedule"/>
    <w:p>
      <w:pPr>
        <w:pStyle w:val="Heading2"/>
      </w:pPr>
      <w:r>
        <w:t xml:space="preserve">4. Payment Terms and Schedule</w:t>
      </w:r>
    </w:p>
    <w:p>
      <w:pPr>
        <w:pStyle w:val="FirstParagraph"/>
      </w:pPr>
      <w:r>
        <w:t xml:space="preserve">The total amount specified in this</w:t>
      </w:r>
      <w:r>
        <w:t xml:space="preserve"> </w:t>
      </w:r>
      <w:r>
        <w:t xml:space="preserve">Quotation Estimate</w:t>
      </w:r>
      <w:r>
        <w:t xml:space="preserve"> </w:t>
      </w:r>
      <w:r>
        <w:t xml:space="preserve">shall be disbursed in four equal quarterly installments, due on the 5th business day of each quarter. Payment shall be made via bank transfer to the designated account of Central Asia Research &amp; Consulting Group at the National Bank of the Republic of Uzbekistan, Tashkent branch. A 1.5% late-payment penalty shall apply to any installment not received within ten (10) business days of the due date. All payments are subject to applicable Uzbekistan tax regulations, including Value Added Tax (VAT) at the prevailing rate of 12%, which is included in the figures above.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is subject to revision based on market conditions in</w:t>
      </w:r>
      <w:r>
        <w:t xml:space="preserve"> </w:t>
      </w:r>
      <w:r>
        <w:t xml:space="preserve">Uzbekistan Tashkent</w:t>
      </w:r>
      <w:r>
        <w:t xml:space="preserve">.</w:t>
      </w:r>
    </w:p>
    <w:p>
      <w:pPr>
        <w:numPr>
          <w:ilvl w:val="0"/>
          <w:numId w:val="1002"/>
        </w:numPr>
        <w:pStyle w:val="Compact"/>
      </w:pPr>
      <w:r>
        <w:t xml:space="preserve">The</w:t>
      </w:r>
      <w:r>
        <w:t xml:space="preserve"> </w:t>
      </w:r>
      <w:r>
        <w:t xml:space="preserve">Medical Researcher</w:t>
      </w:r>
      <w:r>
        <w:t xml:space="preserve"> </w:t>
      </w:r>
      <w:r>
        <w:t xml:space="preserve">and all supporting personnel shall be bound by a strict confidentiality and non-disclosure agreement in accordance with the Law of the Republic of Uzbekistan on Personal Data Protection.</w:t>
      </w:r>
    </w:p>
    <w:p>
      <w:pPr>
        <w:numPr>
          <w:ilvl w:val="0"/>
          <w:numId w:val="1002"/>
        </w:numPr>
        <w:pStyle w:val="Compact"/>
      </w:pPr>
      <w:r>
        <w:t xml:space="preserve">All research data collected in Tashkent shall be stored on encrypted servers located within the Republic of Uzbekistan, in compliance with national data sovereignty regulations.</w:t>
      </w:r>
    </w:p>
    <w:p>
      <w:pPr>
        <w:numPr>
          <w:ilvl w:val="0"/>
          <w:numId w:val="1002"/>
        </w:numPr>
        <w:pStyle w:val="Compact"/>
      </w:pPr>
      <w:r>
        <w:t xml:space="preserve">Any scope changes exceeding 10% of the original budget must be approved in writing by both parties before additional work commences.</w:t>
      </w:r>
    </w:p>
    <w:p>
      <w:pPr>
        <w:numPr>
          <w:ilvl w:val="0"/>
          <w:numId w:val="1002"/>
        </w:numPr>
        <w:pStyle w:val="Compact"/>
      </w:pPr>
      <w:r>
        <w:t xml:space="preserve">Intellectual property arising from this engagement shall be jointly owned by the client institution and Central Asia Research &amp; Consulting Group, as stipulated in a separate IP agreement.</w:t>
      </w:r>
    </w:p>
    <w:p>
      <w:pPr>
        <w:numPr>
          <w:ilvl w:val="0"/>
          <w:numId w:val="1002"/>
        </w:numPr>
        <w:pStyle w:val="Compact"/>
      </w:pPr>
      <w:r>
        <w:t xml:space="preserve">Force majeure events, including but not limited to government-mandated lockdowns or public health emergencies in Tashkent, shall suspend the project timeline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cost, and terms for the engagement of a</w:t>
      </w:r>
      <w:r>
        <w:t xml:space="preserve"> </w:t>
      </w:r>
      <w:r>
        <w:t xml:space="preserve">Medical Researcher</w:t>
      </w:r>
      <w:r>
        <w:t xml:space="preserve"> </w:t>
      </w:r>
      <w:r>
        <w:t xml:space="preserve">and associated services in</w:t>
      </w:r>
      <w:r>
        <w:t xml:space="preserve"> </w:t>
      </w:r>
      <w:r>
        <w:t xml:space="preserve">Uzbekistan Tashkent</w:t>
      </w:r>
      <w:r>
        <w:t xml:space="preserve">. This document, once countersigned, constitutes a binding commercial agreement.</w:t>
      </w:r>
    </w:p>
    <w:p>
      <w:pPr>
        <w:pStyle w:val="BodyText"/>
      </w:pPr>
      <w:r>
        <w:rPr>
          <w:bCs/>
          <w:b/>
        </w:rPr>
        <w:t xml:space="preserve">For Central Asia Research &amp; Consulting Group</w:t>
      </w:r>
    </w:p>
    <w:p>
      <w:pPr>
        <w:pStyle w:val="BodyText"/>
      </w:pPr>
      <w:r>
        <w:t xml:space="preserve">Dr. Aziz Karimov</w:t>
      </w:r>
      <w:r>
        <w:br/>
      </w:r>
      <w:r>
        <w:t xml:space="preserve">Senior Medical Researcher &amp; Lead Consultant</w:t>
      </w:r>
      <w:r>
        <w:br/>
      </w:r>
      <w:r>
        <w:t xml:space="preserve">Signature &amp; Date: _________________________</w:t>
      </w:r>
    </w:p>
    <w:p>
      <w:pPr>
        <w:pStyle w:val="BodyText"/>
      </w:pPr>
      <w:r>
        <w:rPr>
          <w:bCs/>
          <w:b/>
        </w:rPr>
        <w:t xml:space="preserve">For Tashkent State Medical University</w:t>
      </w:r>
    </w:p>
    <w:p>
      <w:pPr>
        <w:pStyle w:val="BodyText"/>
      </w:pPr>
      <w:r>
        <w:t xml:space="preserve">Prof. Gulnara Rakhimova</w:t>
      </w:r>
      <w:r>
        <w:br/>
      </w:r>
      <w:r>
        <w:t xml:space="preserve">Head, Department of Clinical Research</w:t>
      </w:r>
      <w:r>
        <w:br/>
      </w:r>
      <w:r>
        <w:t xml:space="preserve">Signature &amp; Date: _________________________</w:t>
      </w:r>
    </w:p>
    <w:p>
      <w:pPr>
        <w:pStyle w:val="BodyText"/>
      </w:pPr>
      <w:r>
        <w:rPr>
          <w:bCs/>
          <w:b/>
        </w:rPr>
        <w:t xml:space="preserve">Note:</w:t>
      </w:r>
      <w:r>
        <w:t xml:space="preserve"> </w:t>
      </w:r>
      <w:r>
        <w:t xml:space="preserve">This Quotation Estimate is a non-binding preliminary document until formally accepted and countersigned by both parties. All references to Uzbekistan Tashkent pertain specifically to the Tashkent City administrative boundaries and the Tashkent Region (Toshkent viloyati) as defined by the Cabinet of Ministers of the Republic of Uzbekistan. The Medical Researcher services described herein are subject to annual accreditation review by the Ministry of Health of the Republic of Uzbekistan.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Uzbekistan Tashkent</dc:title>
  <dc:creator/>
  <dc:language>en</dc:language>
  <cp:keywords/>
  <dcterms:created xsi:type="dcterms:W3CDTF">2026-10-10T02:45:16Z</dcterms:created>
  <dcterms:modified xsi:type="dcterms:W3CDTF">2026-10-10T02:45:16Z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