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Military</w:t>
      </w:r>
      <w:r>
        <w:t xml:space="preserve"> </w:t>
      </w:r>
      <w:r>
        <w:t xml:space="preserve">Officer</w:t>
      </w:r>
      <w:r>
        <w:t xml:space="preserve"> </w:t>
      </w:r>
      <w:r>
        <w:t xml:space="preserve">Services</w:t>
      </w:r>
      <w:r>
        <w:t xml:space="preserve"> </w:t>
      </w:r>
      <w:r>
        <w:t xml:space="preserve">-</w:t>
      </w:r>
      <w:r>
        <w:t xml:space="preserve"> </w:t>
      </w:r>
      <w:r>
        <w:t xml:space="preserve">Argentina</w:t>
      </w:r>
      <w:r>
        <w:t xml:space="preserve"> </w:t>
      </w:r>
      <w:r>
        <w:t xml:space="preserve">Córdoba</w:t>
      </w:r>
    </w:p>
    <w:bookmarkStart w:id="20" w:name="quotation-estimate"/>
    <w:p>
      <w:pPr>
        <w:pStyle w:val="Heading1"/>
      </w:pPr>
      <w:r>
        <w:t xml:space="preserve">QUOTATION ESTIMATE</w:t>
      </w:r>
    </w:p>
    <w:p>
      <w:pPr>
        <w:pStyle w:val="FirstParagraph"/>
      </w:pPr>
      <w:r>
        <w:t xml:space="preserve">Professional Military Officer Services &amp; Advisory Solutions</w:t>
      </w:r>
    </w:p>
    <w:p>
      <w:pPr>
        <w:pStyle w:val="BodyText"/>
      </w:pPr>
      <w:r>
        <w:t xml:space="preserve">Córdoba Province, Argentina</w:t>
      </w:r>
    </w:p>
    <w:bookmarkEnd w:id="20"/>
    <w:p>
      <w:pPr>
        <w:pStyle w:val="BodyText"/>
      </w:pPr>
      <w:r>
        <w:rPr>
          <w:bCs/>
          <w:b/>
        </w:rPr>
        <w:t xml:space="preserve">Quotation No.:</w:t>
      </w:r>
      <w:r>
        <w:t xml:space="preserve"> </w:t>
      </w:r>
      <w:r>
        <w:t xml:space="preserve">QE-CBA-2025-0487</w:t>
      </w:r>
      <w:r>
        <w:br/>
      </w:r>
      <w:r>
        <w:rPr>
          <w:bCs/>
          <w:b/>
        </w:rPr>
        <w:t xml:space="preserve">Date of Issue:</w:t>
      </w:r>
      <w:r>
        <w:t xml:space="preserve"> </w:t>
      </w:r>
      <w:r>
        <w:t xml:space="preserve">15 June 2025</w:t>
      </w:r>
      <w:r>
        <w:br/>
      </w:r>
      <w:r>
        <w:rPr>
          <w:bCs/>
          <w:b/>
        </w:rPr>
        <w:t xml:space="preserve">Valid Until:</w:t>
      </w:r>
      <w:r>
        <w:t xml:space="preserve"> </w:t>
      </w:r>
      <w:r>
        <w:t xml:space="preserve">15 July 2025</w:t>
      </w:r>
    </w:p>
    <w:p>
      <w:pPr>
        <w:pStyle w:val="BodyText"/>
      </w:pPr>
      <w:r>
        <w:rPr>
          <w:bCs/>
          <w:b/>
        </w:rPr>
        <w:t xml:space="preserve">Prepared By:</w:t>
      </w:r>
      <w:r>
        <w:t xml:space="preserve"> </w:t>
      </w:r>
      <w:r>
        <w:t xml:space="preserve">Andes Security &amp; Defense Consulting S.R.L.</w:t>
      </w:r>
      <w:r>
        <w:br/>
      </w:r>
      <w:r>
        <w:rPr>
          <w:bCs/>
          <w:b/>
        </w:rPr>
        <w:t xml:space="preserve">Address:</w:t>
      </w:r>
      <w:r>
        <w:t xml:space="preserve"> </w:t>
      </w:r>
      <w:r>
        <w:t xml:space="preserve">Av. Vélez Sarsfield 1245, Piso 8</w:t>
      </w:r>
      <w:r>
        <w:br/>
      </w:r>
      <w:r>
        <w:rPr>
          <w:bCs/>
          <w:b/>
        </w:rPr>
        <w:t xml:space="preserve">Córdoba, Argentina</w:t>
      </w:r>
      <w:r>
        <w:t xml:space="preserve"> </w:t>
      </w:r>
      <w:r>
        <w:t xml:space="preserve">– C.P. 5000</w:t>
      </w:r>
      <w:r>
        <w:br/>
      </w:r>
      <w:r>
        <w:rPr>
          <w:bCs/>
          <w:b/>
        </w:rPr>
        <w:t xml:space="preserve">Contact:</w:t>
      </w:r>
      <w:r>
        <w:t xml:space="preserve"> </w:t>
      </w:r>
      <w:r>
        <w:t xml:space="preserve">+54 351 422-8890 | info@andesdefense.ar</w:t>
      </w:r>
    </w:p>
    <w:p>
      <w:pPr>
        <w:pStyle w:val="BodyText"/>
      </w:pPr>
      <w:r>
        <w:t xml:space="preserve">1. Client Information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Client Name</w:t>
            </w:r>
          </w:p>
        </w:tc>
        <w:tc>
          <w:tcPr/>
          <w:p>
            <w:pPr>
              <w:pStyle w:val="Compact"/>
              <w:jc w:val="left"/>
            </w:pPr>
            <w:r>
              <w:t xml:space="preserve">Municipalidad de Córdoba – Dirección de Seguridad Ciudadana</w:t>
            </w:r>
          </w:p>
        </w:tc>
      </w:tr>
      <w:tr>
        <w:tc>
          <w:tcPr/>
          <w:p>
            <w:pPr>
              <w:pStyle w:val="Compact"/>
              <w:jc w:val="left"/>
            </w:pPr>
            <w:r>
              <w:t xml:space="preserve">Location of Service</w:t>
            </w:r>
          </w:p>
        </w:tc>
        <w:tc>
          <w:tcPr/>
          <w:p>
            <w:pPr>
              <w:pStyle w:val="Compact"/>
              <w:jc w:val="left"/>
            </w:pPr>
            <w:r>
              <w:t xml:space="preserve">Córdoba Capital and surrounding departments, Province of Córdoba, Argentina</w:t>
            </w:r>
          </w:p>
        </w:tc>
      </w:tr>
      <w:tr>
        <w:tc>
          <w:tcPr/>
          <w:p>
            <w:pPr>
              <w:pStyle w:val="Compact"/>
              <w:jc w:val="left"/>
            </w:pPr>
            <w:r>
              <w:t xml:space="preserve">Point of Contact</w:t>
            </w:r>
          </w:p>
        </w:tc>
        <w:tc>
          <w:tcPr/>
          <w:p>
            <w:pPr>
              <w:pStyle w:val="Compact"/>
              <w:jc w:val="left"/>
            </w:pPr>
            <w:r>
              <w:t xml:space="preserve">Ing. Roberto Fernández – Director de Seguridad</w:t>
            </w:r>
          </w:p>
        </w:tc>
      </w:tr>
      <w:tr>
        <w:tc>
          <w:tcPr/>
          <w:p>
            <w:pPr>
              <w:pStyle w:val="Compact"/>
              <w:jc w:val="left"/>
            </w:pPr>
            <w:r>
              <w:t xml:space="preserve">Reference File</w:t>
            </w:r>
          </w:p>
        </w:tc>
        <w:tc>
          <w:tcPr/>
          <w:p>
            <w:pPr>
              <w:pStyle w:val="Compact"/>
              <w:jc w:val="left"/>
            </w:pPr>
            <w:r>
              <w:t xml:space="preserve">Expediente N.º 2025-SEC-0312</w:t>
            </w:r>
          </w:p>
        </w:tc>
      </w:tr>
    </w:tbl>
    <w:p>
      <w:pPr>
        <w:pStyle w:val="BodyText"/>
      </w:pPr>
      <w:r>
        <w:t xml:space="preserve">2. Scope of Services – Military Officer Deployment in Argentina Córdoba</w:t>
      </w:r>
    </w:p>
    <w:p>
      <w:pPr>
        <w:pStyle w:val="BodyText"/>
      </w:pPr>
      <w:r>
        <w:t xml:space="preserve">This Quotation Estimate is issued by Andes Security &amp; Defense Consulting S.R.L. to formally present the cost structure for the provision of a qualified</w:t>
      </w:r>
      <w:r>
        <w:t xml:space="preserve"> </w:t>
      </w:r>
      <w:r>
        <w:rPr>
          <w:bCs/>
          <w:b/>
        </w:rPr>
        <w:t xml:space="preserve">Military Officer</w:t>
      </w:r>
      <w:r>
        <w:t xml:space="preserve"> </w:t>
      </w:r>
      <w:r>
        <w:t xml:space="preserve">to be deployed and operational within the jurisdiction of</w:t>
      </w:r>
      <w:r>
        <w:t xml:space="preserve"> </w:t>
      </w:r>
      <w:r>
        <w:rPr>
          <w:bCs/>
          <w:b/>
        </w:rPr>
        <w:t xml:space="preserve">Argentina Córdoba</w:t>
      </w:r>
      <w:r>
        <w:t xml:space="preserve">. The Military Officer shall serve in an advisory, training, and operational coordination capacity under the direct supervision of the Municipal Security Directorate. The engagement is structured to meet the specific security and institutional development needs identified in the Province of Córdoba during the current fiscal year.</w:t>
      </w:r>
    </w:p>
    <w:p>
      <w:pPr>
        <w:pStyle w:val="BodyText"/>
      </w:pPr>
      <w:r>
        <w:t xml:space="preserve">The Military Officer assigned to this contract shall hold a minimum rank of Lieutenant Colonel (or equivalent) with no fewer than fifteen (15) years of active service in the Argentine Armed Forces or a recognized allied military institution. The officer must possess documented experience in urban security operations, inter-institutional coordination, crisis management, and personnel training programs. All qualifications will be verified prior to deployment in Argentina Córdoba.</w:t>
      </w:r>
    </w:p>
    <w:p>
      <w:pPr>
        <w:pStyle w:val="BodyText"/>
      </w:pPr>
      <w:r>
        <w:t xml:space="preserve">3.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w:t>
            </w:r>
          </w:p>
        </w:tc>
        <w:tc>
          <w:tcPr/>
          <w:p>
            <w:pPr>
              <w:pStyle w:val="Compact"/>
              <w:jc w:val="left"/>
            </w:pPr>
            <w:r>
              <w:t xml:space="preserve">Description</w:t>
            </w:r>
          </w:p>
        </w:tc>
        <w:tc>
          <w:tcPr/>
          <w:p>
            <w:pPr>
              <w:pStyle w:val="Compact"/>
              <w:jc w:val="left"/>
            </w:pPr>
            <w:r>
              <w:t xml:space="preserve">Duration</w:t>
            </w:r>
          </w:p>
        </w:tc>
        <w:tc>
          <w:tcPr/>
          <w:p>
            <w:pPr>
              <w:pStyle w:val="Compact"/>
              <w:jc w:val="left"/>
            </w:pPr>
            <w:r>
              <w:t xml:space="preserve">Unit Cost (ARS)</w:t>
            </w:r>
          </w:p>
        </w:tc>
        <w:tc>
          <w:tcPr/>
          <w:p>
            <w:pPr>
              <w:pStyle w:val="Compact"/>
              <w:jc w:val="left"/>
            </w:pPr>
            <w:r>
              <w:t xml:space="preserve">Total (ARS)</w:t>
            </w:r>
          </w:p>
        </w:tc>
      </w:tr>
      <w:tr>
        <w:tc>
          <w:tcPr/>
          <w:p>
            <w:pPr>
              <w:pStyle w:val="Compact"/>
              <w:jc w:val="left"/>
            </w:pPr>
            <w:r>
              <w:t xml:space="preserve">3.1</w:t>
            </w:r>
          </w:p>
        </w:tc>
        <w:tc>
          <w:tcPr/>
          <w:p>
            <w:pPr>
              <w:pStyle w:val="Compact"/>
              <w:jc w:val="left"/>
            </w:pPr>
            <w:r>
              <w:t xml:space="preserve">Military Officer – Monthly Professional Fee (Advisory &amp; Operational Coordination)</w:t>
            </w:r>
          </w:p>
        </w:tc>
        <w:tc>
          <w:tcPr/>
          <w:p>
            <w:pPr>
              <w:pStyle w:val="Compact"/>
              <w:jc w:val="left"/>
            </w:pPr>
            <w:r>
              <w:t xml:space="preserve">12 months</w:t>
            </w:r>
          </w:p>
        </w:tc>
        <w:tc>
          <w:tcPr/>
          <w:p>
            <w:pPr>
              <w:pStyle w:val="Compact"/>
              <w:jc w:val="left"/>
            </w:pPr>
            <w:r>
              <w:t xml:space="preserve">1,850,000</w:t>
            </w:r>
          </w:p>
        </w:tc>
        <w:tc>
          <w:tcPr/>
          <w:p>
            <w:pPr>
              <w:pStyle w:val="Compact"/>
              <w:jc w:val="left"/>
            </w:pPr>
            <w:r>
              <w:t xml:space="preserve">22,200,000</w:t>
            </w:r>
          </w:p>
        </w:tc>
      </w:tr>
      <w:tr>
        <w:tc>
          <w:tcPr/>
          <w:p>
            <w:pPr>
              <w:pStyle w:val="Compact"/>
              <w:jc w:val="left"/>
            </w:pPr>
            <w:r>
              <w:t xml:space="preserve">3.2</w:t>
            </w:r>
          </w:p>
        </w:tc>
        <w:tc>
          <w:tcPr/>
          <w:p>
            <w:pPr>
              <w:pStyle w:val="Compact"/>
              <w:jc w:val="left"/>
            </w:pPr>
            <w:r>
              <w:t xml:space="preserve">Military Officer – Training Program Development &amp; Delivery (Municipal Security Personnel)</w:t>
            </w:r>
          </w:p>
        </w:tc>
        <w:tc>
          <w:tcPr/>
          <w:p>
            <w:pPr>
              <w:pStyle w:val="Compact"/>
              <w:jc w:val="left"/>
            </w:pPr>
            <w:r>
              <w:t xml:space="preserve">6 months</w:t>
            </w:r>
          </w:p>
        </w:tc>
        <w:tc>
          <w:tcPr/>
          <w:p>
            <w:pPr>
              <w:pStyle w:val="Compact"/>
              <w:jc w:val="left"/>
            </w:pPr>
            <w:r>
              <w:t xml:space="preserve">420,000</w:t>
            </w:r>
          </w:p>
        </w:tc>
        <w:tc>
          <w:tcPr/>
          <w:p>
            <w:pPr>
              <w:pStyle w:val="Compact"/>
              <w:jc w:val="left"/>
            </w:pPr>
            <w:r>
              <w:t xml:space="preserve">2,520,000</w:t>
            </w:r>
          </w:p>
        </w:tc>
      </w:tr>
      <w:tr>
        <w:tc>
          <w:tcPr/>
          <w:p>
            <w:pPr>
              <w:pStyle w:val="Compact"/>
              <w:jc w:val="left"/>
            </w:pPr>
            <w:r>
              <w:t xml:space="preserve">3.3</w:t>
            </w:r>
          </w:p>
        </w:tc>
        <w:tc>
          <w:tcPr/>
          <w:p>
            <w:pPr>
              <w:pStyle w:val="Compact"/>
              <w:jc w:val="left"/>
            </w:pPr>
            <w:r>
              <w:t xml:space="preserve">Operational Planning &amp; Strategic Assessment Reports (Quarterly)</w:t>
            </w:r>
          </w:p>
        </w:tc>
        <w:tc>
          <w:tcPr/>
          <w:p>
            <w:pPr>
              <w:pStyle w:val="Compact"/>
              <w:jc w:val="left"/>
            </w:pPr>
            <w:r>
              <w:t xml:space="preserve">4 reports</w:t>
            </w:r>
          </w:p>
        </w:tc>
        <w:tc>
          <w:tcPr/>
          <w:p>
            <w:pPr>
              <w:pStyle w:val="Compact"/>
              <w:jc w:val="left"/>
            </w:pPr>
            <w:r>
              <w:t xml:space="preserve">380,000</w:t>
            </w:r>
          </w:p>
        </w:tc>
        <w:tc>
          <w:tcPr/>
          <w:p>
            <w:pPr>
              <w:pStyle w:val="Compact"/>
              <w:jc w:val="left"/>
            </w:pPr>
            <w:r>
              <w:t xml:space="preserve">1,520,000</w:t>
            </w:r>
          </w:p>
        </w:tc>
      </w:tr>
      <w:tr>
        <w:tc>
          <w:tcPr/>
          <w:p>
            <w:pPr>
              <w:pStyle w:val="Compact"/>
              <w:jc w:val="left"/>
            </w:pPr>
            <w:r>
              <w:t xml:space="preserve">3.4</w:t>
            </w:r>
          </w:p>
        </w:tc>
        <w:tc>
          <w:tcPr/>
          <w:p>
            <w:pPr>
              <w:pStyle w:val="Compact"/>
              <w:jc w:val="left"/>
            </w:pPr>
            <w:r>
              <w:t xml:space="preserve">Inter-institutional Liaison &amp; Coordination (Provincial &amp; National Agencies in Córdoba)</w:t>
            </w:r>
          </w:p>
        </w:tc>
        <w:tc>
          <w:tcPr/>
          <w:p>
            <w:pPr>
              <w:pStyle w:val="Compact"/>
              <w:jc w:val="left"/>
            </w:pPr>
            <w:r>
              <w:t xml:space="preserve">12 months</w:t>
            </w:r>
          </w:p>
        </w:tc>
        <w:tc>
          <w:tcPr/>
          <w:p>
            <w:pPr>
              <w:pStyle w:val="Compact"/>
              <w:jc w:val="left"/>
            </w:pPr>
            <w:r>
              <w:t xml:space="preserve">275,000</w:t>
            </w:r>
          </w:p>
        </w:tc>
        <w:tc>
          <w:tcPr/>
          <w:p>
            <w:pPr>
              <w:pStyle w:val="Compact"/>
              <w:jc w:val="left"/>
            </w:pPr>
            <w:r>
              <w:t xml:space="preserve">3,300,000</w:t>
            </w:r>
          </w:p>
        </w:tc>
      </w:tr>
      <w:tr>
        <w:tc>
          <w:tcPr/>
          <w:p>
            <w:pPr>
              <w:pStyle w:val="Compact"/>
              <w:jc w:val="left"/>
            </w:pPr>
            <w:r>
              <w:t xml:space="preserve">3.5</w:t>
            </w:r>
          </w:p>
        </w:tc>
        <w:tc>
          <w:tcPr/>
          <w:p>
            <w:pPr>
              <w:pStyle w:val="Compact"/>
              <w:jc w:val="left"/>
            </w:pPr>
            <w:r>
              <w:t xml:space="preserve">Emergency Response Protocol Design &amp; Tabletop Exercises</w:t>
            </w:r>
          </w:p>
        </w:tc>
        <w:tc>
          <w:tcPr/>
          <w:p>
            <w:pPr>
              <w:pStyle w:val="Compact"/>
              <w:jc w:val="left"/>
            </w:pPr>
            <w:r>
              <w:t xml:space="preserve">2 exercises</w:t>
            </w:r>
          </w:p>
        </w:tc>
        <w:tc>
          <w:tcPr/>
          <w:p>
            <w:pPr>
              <w:pStyle w:val="Compact"/>
              <w:jc w:val="left"/>
            </w:pPr>
            <w:r>
              <w:t xml:space="preserve">560,000</w:t>
            </w:r>
          </w:p>
        </w:tc>
        <w:tc>
          <w:tcPr/>
          <w:p>
            <w:pPr>
              <w:pStyle w:val="Compact"/>
              <w:jc w:val="left"/>
            </w:pPr>
            <w:r>
              <w:t xml:space="preserve">1,120,000</w:t>
            </w:r>
          </w:p>
        </w:tc>
      </w:tr>
      <w:tr>
        <w:tc>
          <w:tcPr/>
          <w:p>
            <w:pPr>
              <w:pStyle w:val="Compact"/>
              <w:jc w:val="left"/>
            </w:pPr>
            <w:r>
              <w:t xml:space="preserve">3.6</w:t>
            </w:r>
          </w:p>
        </w:tc>
        <w:tc>
          <w:tcPr/>
          <w:p>
            <w:pPr>
              <w:pStyle w:val="Compact"/>
              <w:jc w:val="left"/>
            </w:pPr>
            <w:r>
              <w:t xml:space="preserve">Administrative Support, Office Setup &amp; Secure Communications in Córdoba</w:t>
            </w:r>
          </w:p>
        </w:tc>
        <w:tc>
          <w:tcPr/>
          <w:p>
            <w:pPr>
              <w:pStyle w:val="Compact"/>
              <w:jc w:val="left"/>
            </w:pPr>
            <w:r>
              <w:t xml:space="preserve">12 months</w:t>
            </w:r>
          </w:p>
        </w:tc>
        <w:tc>
          <w:tcPr/>
          <w:p>
            <w:pPr>
              <w:pStyle w:val="Compact"/>
              <w:jc w:val="left"/>
            </w:pPr>
            <w:r>
              <w:t xml:space="preserve">195,000</w:t>
            </w:r>
          </w:p>
        </w:tc>
        <w:tc>
          <w:tcPr/>
          <w:p>
            <w:pPr>
              <w:pStyle w:val="Compact"/>
              <w:jc w:val="left"/>
            </w:pPr>
            <w:r>
              <w:t xml:space="preserve">2,340,000</w:t>
            </w:r>
          </w:p>
        </w:tc>
      </w:tr>
      <w:tr>
        <w:tc>
          <w:tcPr/>
          <w:p>
            <w:pPr>
              <w:pStyle w:val="Compact"/>
              <w:jc w:val="left"/>
            </w:pPr>
            <w:r>
              <w:t xml:space="preserve">3.7</w:t>
            </w:r>
          </w:p>
        </w:tc>
        <w:tc>
          <w:tcPr/>
          <w:p>
            <w:pPr>
              <w:pStyle w:val="Compact"/>
              <w:jc w:val="left"/>
            </w:pPr>
            <w:r>
              <w:t xml:space="preserve">Travel &amp; Logistics (Within Province of Córdoba and National Capital)</w:t>
            </w:r>
          </w:p>
        </w:tc>
        <w:tc>
          <w:tcPr/>
          <w:p>
            <w:pPr>
              <w:pStyle w:val="Compact"/>
              <w:jc w:val="left"/>
            </w:pPr>
            <w:r>
              <w:t xml:space="preserve">12 months</w:t>
            </w:r>
          </w:p>
        </w:tc>
        <w:tc>
          <w:tcPr/>
          <w:p>
            <w:pPr>
              <w:pStyle w:val="Compact"/>
              <w:jc w:val="left"/>
            </w:pPr>
            <w:r>
              <w:t xml:space="preserve">145,000</w:t>
            </w:r>
          </w:p>
        </w:tc>
        <w:tc>
          <w:tcPr/>
          <w:p>
            <w:pPr>
              <w:pStyle w:val="Compact"/>
              <w:jc w:val="left"/>
            </w:pPr>
            <w:r>
              <w:t xml:space="preserve">1,740,000</w:t>
            </w:r>
          </w:p>
        </w:tc>
      </w:tr>
      <w:tr>
        <w:tc>
          <w:tcPr>
            <w:gridSpan w:val="4"/>
          </w:tcPr>
          <w:p>
            <w:pPr>
              <w:pStyle w:val="Compact"/>
              <w:jc w:val="left"/>
            </w:pPr>
            <w:r>
              <w:t xml:space="preserve">SUBTOTAL</w:t>
            </w:r>
          </w:p>
        </w:tc>
        <w:tc>
          <w:tcPr/>
          <w:p>
            <w:pPr>
              <w:pStyle w:val="Compact"/>
              <w:jc w:val="left"/>
            </w:pPr>
            <w:r>
              <w:t xml:space="preserve">34,740,000</w:t>
            </w:r>
          </w:p>
        </w:tc>
      </w:tr>
      <w:tr>
        <w:tc>
          <w:tcPr>
            <w:gridSpan w:val="4"/>
          </w:tcPr>
          <w:p>
            <w:pPr>
              <w:pStyle w:val="Compact"/>
              <w:jc w:val="left"/>
            </w:pPr>
            <w:r>
              <w:t xml:space="preserve">VAT (IVA) – 21%</w:t>
            </w:r>
          </w:p>
        </w:tc>
        <w:tc>
          <w:tcPr/>
          <w:p>
            <w:pPr>
              <w:pStyle w:val="Compact"/>
              <w:jc w:val="left"/>
            </w:pPr>
            <w:r>
              <w:t xml:space="preserve">7,295,400</w:t>
            </w:r>
          </w:p>
        </w:tc>
      </w:tr>
      <w:tr>
        <w:tc>
          <w:tcPr>
            <w:gridSpan w:val="4"/>
          </w:tcPr>
          <w:p>
            <w:pPr>
              <w:pStyle w:val="Compact"/>
              <w:jc w:val="left"/>
            </w:pPr>
            <w:r>
              <w:t xml:space="preserve">GRAND TOTAL</w:t>
            </w:r>
          </w:p>
        </w:tc>
        <w:tc>
          <w:tcPr/>
          <w:p>
            <w:pPr>
              <w:pStyle w:val="Compact"/>
              <w:jc w:val="left"/>
            </w:pPr>
            <w:r>
              <w:t xml:space="preserve">42,035,400</w:t>
            </w:r>
          </w:p>
        </w:tc>
      </w:tr>
    </w:tbl>
    <w:p>
      <w:pPr>
        <w:pStyle w:val="BodyText"/>
      </w:pPr>
      <w:r>
        <w:t xml:space="preserve">All amounts are expressed in Argentine Pesos (ARS) at the exchange rate prevailing on the date of this Quotation Estimate. Final invoicing shall be adjusted according to the official rate published by the Banco Central de la República Argentina (BCRA) at the time of payment.</w:t>
      </w:r>
    </w:p>
    <w:p>
      <w:pPr>
        <w:pStyle w:val="BodyText"/>
      </w:pPr>
      <w:r>
        <w:t xml:space="preserve">4. Terms and Conditions</w:t>
      </w:r>
    </w:p>
    <w:p>
      <w:pPr>
        <w:numPr>
          <w:ilvl w:val="0"/>
          <w:numId w:val="1001"/>
        </w:numPr>
        <w:pStyle w:val="Compact"/>
      </w:pPr>
      <w:r>
        <w:rPr>
          <w:bCs/>
          <w:b/>
        </w:rPr>
        <w:t xml:space="preserve">Validity:</w:t>
      </w:r>
      <w:r>
        <w:t xml:space="preserve"> </w:t>
      </w:r>
      <w:r>
        <w:t xml:space="preserve">This Quotation Estimate remains valid for thirty (30) calendar days from the date of issue. After this period, all pricing is subject to revision based on current economic conditions in Argentina Córdoba.</w:t>
      </w:r>
    </w:p>
    <w:p>
      <w:pPr>
        <w:numPr>
          <w:ilvl w:val="0"/>
          <w:numId w:val="1001"/>
        </w:numPr>
        <w:pStyle w:val="Compact"/>
      </w:pPr>
      <w:r>
        <w:rPr>
          <w:bCs/>
          <w:b/>
        </w:rPr>
        <w:t xml:space="preserve">Payment Terms:</w:t>
      </w:r>
      <w:r>
        <w:t xml:space="preserve"> </w:t>
      </w:r>
      <w:r>
        <w:t xml:space="preserve">Payment shall be made in monthly installments within fifteen (15) business days of invoice receipt. A 10% advance payment is required upon contract signature to initiate the Military Officer's onboarding process.</w:t>
      </w:r>
    </w:p>
    <w:p>
      <w:pPr>
        <w:numPr>
          <w:ilvl w:val="0"/>
          <w:numId w:val="1001"/>
        </w:numPr>
        <w:pStyle w:val="Compact"/>
      </w:pPr>
      <w:r>
        <w:rPr>
          <w:bCs/>
          <w:b/>
        </w:rPr>
        <w:t xml:space="preserve">Deployment Timeline:</w:t>
      </w:r>
      <w:r>
        <w:t xml:space="preserve"> </w:t>
      </w:r>
      <w:r>
        <w:t xml:space="preserve">The Military Officer shall be fully operational in Argentina Córdoba within twenty (20) business days of contract execution and receipt of the advance payment.</w:t>
      </w:r>
    </w:p>
    <w:p>
      <w:pPr>
        <w:numPr>
          <w:ilvl w:val="0"/>
          <w:numId w:val="1001"/>
        </w:numPr>
        <w:pStyle w:val="Compact"/>
      </w:pPr>
      <w:r>
        <w:rPr>
          <w:bCs/>
          <w:b/>
        </w:rPr>
        <w:t xml:space="preserve">Confidentiality:</w:t>
      </w:r>
      <w:r>
        <w:t xml:space="preserve"> </w:t>
      </w:r>
      <w:r>
        <w:t xml:space="preserve">All operational plans, strategic assessments, and personnel data generated during the engagement in Córdoba shall be treated as strictly confidential. The Military Officer is bound by a non-disclosure agreement compliant with Argentine Law N.º 25.326 (Access to Public Information) and applicable national security regulations.</w:t>
      </w:r>
    </w:p>
    <w:p>
      <w:pPr>
        <w:numPr>
          <w:ilvl w:val="0"/>
          <w:numId w:val="1001"/>
        </w:numPr>
        <w:pStyle w:val="Compact"/>
      </w:pPr>
      <w:r>
        <w:rPr>
          <w:bCs/>
          <w:b/>
        </w:rPr>
        <w:t xml:space="preserve">Termination:</w:t>
      </w:r>
      <w:r>
        <w:t xml:space="preserve"> </w:t>
      </w:r>
      <w:r>
        <w:t xml:space="preserve">Either party may terminate this agreement with sixty (60) days' written notice. In the event of early termination, the Military Officer's fees shall be prorated up to the date of departure from Argentina Córdoba.</w:t>
      </w:r>
    </w:p>
    <w:p>
      <w:pPr>
        <w:numPr>
          <w:ilvl w:val="0"/>
          <w:numId w:val="1001"/>
        </w:numPr>
        <w:pStyle w:val="Compact"/>
      </w:pPr>
      <w:r>
        <w:rPr>
          <w:bCs/>
          <w:b/>
        </w:rPr>
        <w:t xml:space="preserve">Compliance:</w:t>
      </w:r>
      <w:r>
        <w:t xml:space="preserve"> </w:t>
      </w:r>
      <w:r>
        <w:t xml:space="preserve">The Military Officer shall operate in full compliance with the Argentine National Constitution, the Provincial Constitution of Córdoba, and all applicable federal and municipal security legislation.</w:t>
      </w:r>
    </w:p>
    <w:p>
      <w:pPr>
        <w:numPr>
          <w:ilvl w:val="0"/>
          <w:numId w:val="1001"/>
        </w:numPr>
        <w:pStyle w:val="Compact"/>
      </w:pPr>
      <w:r>
        <w:rPr>
          <w:bCs/>
          <w:b/>
        </w:rPr>
        <w:t xml:space="preserve">Insurance:</w:t>
      </w:r>
      <w:r>
        <w:t xml:space="preserve"> </w:t>
      </w:r>
      <w:r>
        <w:t xml:space="preserve">The contracting entity shall maintain comprehensive liability insurance covering the Military Officer during all operational activities within the Province of Córdoba.</w:t>
      </w:r>
    </w:p>
    <w:p>
      <w:pPr>
        <w:numPr>
          <w:ilvl w:val="0"/>
          <w:numId w:val="1001"/>
        </w:numPr>
        <w:pStyle w:val="Compact"/>
      </w:pPr>
      <w:r>
        <w:rPr>
          <w:bCs/>
          <w:b/>
        </w:rPr>
        <w:t xml:space="preserve">Dispute Resolution:</w:t>
      </w:r>
      <w:r>
        <w:t xml:space="preserve"> </w:t>
      </w:r>
      <w:r>
        <w:t xml:space="preserve">Any disputes arising from this Quotation Estimate or the resulting contract shall be resolved through arbitration in the city of Córdoba, Argentina, in accordance with the rules of the Argentine Chamber of Commerce.</w:t>
      </w:r>
    </w:p>
    <w:p>
      <w:pPr>
        <w:pStyle w:val="FirstParagraph"/>
      </w:pPr>
      <w:r>
        <w:t xml:space="preserve">5. Acceptance and Authorization</w:t>
      </w:r>
    </w:p>
    <w:p>
      <w:pPr>
        <w:pStyle w:val="BodyText"/>
      </w:pPr>
      <w:r>
        <w:t xml:space="preserve">By signing below, the Client acknowledges receipt of this Quotation Estimate and authorizes Andes Security &amp; Defense Consulting S.R.L. to proceed with the engagement of the specified Military Officer for deployment in Argentina Córdoba under the terms outlined herein.</w:t>
      </w:r>
    </w:p>
    <w:p>
      <w:pPr>
        <w:pStyle w:val="BodyText"/>
      </w:pPr>
      <w:r>
        <w:rPr>
          <w:bCs/>
          <w:b/>
        </w:rPr>
        <w:t xml:space="preserve">For the Client</w:t>
      </w:r>
      <w:r>
        <w:br/>
      </w:r>
      <w:r>
        <w:t xml:space="preserve">Municipalidad de Córdoba</w:t>
      </w:r>
      <w:r>
        <w:br/>
      </w:r>
      <w:r>
        <w:t xml:space="preserve">Name: _________________________</w:t>
      </w:r>
      <w:r>
        <w:br/>
      </w:r>
      <w:r>
        <w:t xml:space="preserve">Position: ______________________</w:t>
      </w:r>
      <w:r>
        <w:br/>
      </w:r>
      <w:r>
        <w:t xml:space="preserve">Date: _________________________</w:t>
      </w:r>
    </w:p>
    <w:p>
      <w:pPr>
        <w:pStyle w:val="BodyText"/>
      </w:pPr>
      <w:r>
        <w:rPr>
          <w:bCs/>
          <w:b/>
        </w:rPr>
        <w:t xml:space="preserve">For the Provider</w:t>
      </w:r>
      <w:r>
        <w:br/>
      </w:r>
      <w:r>
        <w:t xml:space="preserve">Andes Security &amp; Defense Consulting S.R.L.</w:t>
      </w:r>
      <w:r>
        <w:br/>
      </w:r>
      <w:r>
        <w:t xml:space="preserve">Name: _________________________</w:t>
      </w:r>
      <w:r>
        <w:br/>
      </w:r>
      <w:r>
        <w:t xml:space="preserve">Position: ______________________</w:t>
      </w:r>
      <w:r>
        <w:br/>
      </w:r>
      <w:r>
        <w:t xml:space="preserve">Date: _________________________</w:t>
      </w:r>
    </w:p>
    <w:p>
      <w:pPr>
        <w:pStyle w:val="BodyText"/>
      </w:pPr>
      <w:r>
        <w:t xml:space="preserve">Quotation Estimate QE-CBA-2025-0487 | Andes Security &amp; Defense Consulting S.R.L. | Córdoba, Argentina</w:t>
      </w:r>
      <w:r>
        <w:br/>
      </w:r>
      <w:r>
        <w:t xml:space="preserve">This document is a formal Quotation Estimate and does not constitute a binding contract until countersigned by both parties. All services described herein pertain to the deployment of a Military Officer within the Province of Córdoba, Argentina.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Military Officer Services - Argentina Córdoba</dc:title>
  <dc:creator/>
  <dc:language>en</dc:language>
  <cp:keywords/>
  <dcterms:created xsi:type="dcterms:W3CDTF">2026-10-10T04:45:30Z</dcterms:created>
  <dcterms:modified xsi:type="dcterms:W3CDTF">2026-10-10T04:45:30Z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