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security-advisory-group"/>
    <w:p>
      <w:pPr>
        <w:pStyle w:val="Heading1"/>
      </w:pPr>
      <w:r>
        <w:t xml:space="preserve">PT Nusantara Security &amp; Advisory Group</w:t>
      </w:r>
    </w:p>
    <w:p>
      <w:pPr>
        <w:pStyle w:val="FirstParagraph"/>
      </w:pPr>
      <w:r>
        <w:t xml:space="preserve">Jl. Jend. Sudirman Kav. 52-53, SCBD District, Jakarta Selatan 12190, Indonesia</w:t>
      </w:r>
    </w:p>
    <w:p>
      <w:pPr>
        <w:pStyle w:val="BodyText"/>
      </w:pPr>
      <w:r>
        <w:t xml:space="preserve">Tel: +62-21-5790-4400 | Email: quotations@nusantarasecurity.co.id</w:t>
      </w:r>
    </w:p>
    <w:p>
      <w:pPr>
        <w:pStyle w:val="BodyText"/>
      </w:pPr>
      <w:r>
        <w:t xml:space="preserve">Business License No: 11.2023/BSN/KEP/2023 | NPWP: 02.456.789.0-411.000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QTE-2025-JKT-0847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Indonesian Rupiah (IDR)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PT Global Trade Indonesia</w:t>
      </w:r>
    </w:p>
    <w:p>
      <w:pPr>
        <w:pStyle w:val="BodyText"/>
      </w:pPr>
      <w:r>
        <w:rPr>
          <w:bCs/>
          <w:b/>
        </w:rPr>
        <w:t xml:space="preserve">Address:</w:t>
      </w:r>
      <w:r>
        <w:t xml:space="preserve"> </w:t>
      </w:r>
      <w:r>
        <w:t xml:space="preserve">Menara Mandiri II, Jl. Jend. Sudirman Kav. 25, Jakarta Pusat 10220</w:t>
      </w:r>
    </w:p>
    <w:p>
      <w:pPr>
        <w:pStyle w:val="BodyText"/>
      </w:pPr>
      <w:r>
        <w:rPr>
          <w:bCs/>
          <w:b/>
        </w:rPr>
        <w:t xml:space="preserve">Contact Person:</w:t>
      </w:r>
      <w:r>
        <w:t xml:space="preserve"> </w:t>
      </w:r>
      <w:r>
        <w:t xml:space="preserve">Mr. Hendra Wijaya, Director of Operations</w:t>
      </w:r>
    </w:p>
    <w:p>
      <w:pPr>
        <w:pStyle w:val="BodyText"/>
      </w:pPr>
      <w:r>
        <w:rPr>
          <w:bCs/>
          <w:b/>
        </w:rPr>
        <w:t xml:space="preserve">Email:</w:t>
      </w:r>
      <w:r>
        <w:t xml:space="preserve"> </w:t>
      </w:r>
      <w:r>
        <w:t xml:space="preserve">h.wijaya@globaltrade.co.id</w:t>
      </w:r>
    </w:p>
    <w:bookmarkEnd w:id="22"/>
    <w:p>
      <w:pPr>
        <w:pStyle w:val="BodyText"/>
      </w:pPr>
      <w:r>
        <w:t xml:space="preserve">Dear Mr. Hendra Wijaya,</w:t>
      </w:r>
    </w:p>
    <w:p>
      <w:pPr>
        <w:pStyle w:val="BodyText"/>
      </w:pPr>
      <w:r>
        <w:t xml:space="preserve">Thank you for your inquiry regarding the engagement of a</w:t>
      </w:r>
      <w:r>
        <w:t xml:space="preserve"> </w:t>
      </w:r>
      <w:r>
        <w:t xml:space="preserve">Military Officer</w:t>
      </w:r>
      <w:r>
        <w:t xml:space="preserve"> </w:t>
      </w:r>
      <w:r>
        <w:t xml:space="preserve">for your corporate security and advisory operations in</w:t>
      </w:r>
      <w:r>
        <w:t xml:space="preserve"> </w:t>
      </w:r>
      <w:r>
        <w:t xml:space="preserve">Indonesia Jakarta</w:t>
      </w:r>
      <w:r>
        <w:t xml:space="preserve">. This</w:t>
      </w:r>
      <w:r>
        <w:t xml:space="preserve"> </w:t>
      </w:r>
      <w:r>
        <w:t xml:space="preserve">Quotation Estimate</w:t>
      </w:r>
      <w:r>
        <w:t xml:space="preserve"> </w:t>
      </w:r>
      <w:r>
        <w:t xml:space="preserve">has been prepared in accordance with your requirements and reflects our standard rates for providing qualified retired military personnel for executive protection, facility security oversight, and operational advisory services within the Greater Jakarta metropolitan area.</w:t>
      </w:r>
    </w:p>
    <w:p>
      <w:pPr>
        <w:pStyle w:val="BodyText"/>
      </w:pPr>
      <w:r>
        <w:t xml:space="preserve">Scope of Services</w:t>
      </w:r>
    </w:p>
    <w:p>
      <w:pPr>
        <w:pStyle w:val="BodyText"/>
      </w:pPr>
      <w:r>
        <w:t xml:space="preserve">This</w:t>
      </w:r>
      <w:r>
        <w:t xml:space="preserve"> </w:t>
      </w:r>
      <w:r>
        <w:t xml:space="preserve">Quotation Estimate</w:t>
      </w:r>
      <w:r>
        <w:t xml:space="preserve"> </w:t>
      </w:r>
      <w:r>
        <w:t xml:space="preserve">covers the deployment of a retired</w:t>
      </w:r>
      <w:r>
        <w:t xml:space="preserve"> </w:t>
      </w:r>
      <w:r>
        <w:t xml:space="preserve">Military Officer</w:t>
      </w:r>
      <w:r>
        <w:t xml:space="preserve"> </w:t>
      </w:r>
      <w:r>
        <w:t xml:space="preserve">(minimum rank: Letnan Kolonel / Lieutenant Colonel, TNI-AD or equivalent) to provide the following services at your Jakarta headquarters and associated sites in</w:t>
      </w:r>
      <w:r>
        <w:t xml:space="preserve"> </w:t>
      </w:r>
      <w:r>
        <w:t xml:space="preserve">Indonesia Jakarta</w:t>
      </w:r>
      <w:r>
        <w:t xml:space="preserve">:</w:t>
      </w:r>
    </w:p>
    <w:p>
      <w:pPr>
        <w:numPr>
          <w:ilvl w:val="0"/>
          <w:numId w:val="1001"/>
        </w:numPr>
        <w:pStyle w:val="Compact"/>
      </w:pPr>
      <w:r>
        <w:t xml:space="preserve">Executive protection and close personal security for C-suite personnel</w:t>
      </w:r>
    </w:p>
    <w:p>
      <w:pPr>
        <w:numPr>
          <w:ilvl w:val="0"/>
          <w:numId w:val="1001"/>
        </w:numPr>
        <w:pStyle w:val="Compact"/>
      </w:pPr>
      <w:r>
        <w:t xml:space="preserve">Facility security assessment and risk mitigation planning for all Jakarta office locations</w:t>
      </w:r>
    </w:p>
    <w:p>
      <w:pPr>
        <w:numPr>
          <w:ilvl w:val="0"/>
          <w:numId w:val="1001"/>
        </w:numPr>
        <w:pStyle w:val="Compact"/>
      </w:pPr>
      <w:r>
        <w:t xml:space="preserve">Operational command and coordination of on-site security teams</w:t>
      </w:r>
    </w:p>
    <w:p>
      <w:pPr>
        <w:numPr>
          <w:ilvl w:val="0"/>
          <w:numId w:val="1001"/>
        </w:numPr>
        <w:pStyle w:val="Compact"/>
      </w:pPr>
      <w:r>
        <w:t xml:space="preserve">Threat assessment and intelligence briefing on a weekly basis</w:t>
      </w:r>
    </w:p>
    <w:p>
      <w:pPr>
        <w:numPr>
          <w:ilvl w:val="0"/>
          <w:numId w:val="1001"/>
        </w:numPr>
        <w:pStyle w:val="Compact"/>
      </w:pPr>
      <w:r>
        <w:t xml:space="preserve">Emergency response planning and crisis management coordination</w:t>
      </w:r>
    </w:p>
    <w:p>
      <w:pPr>
        <w:numPr>
          <w:ilvl w:val="0"/>
          <w:numId w:val="1001"/>
        </w:numPr>
        <w:pStyle w:val="Compact"/>
      </w:pPr>
      <w:r>
        <w:t xml:space="preserve">Compliance oversight in accordance with Indonesian national security regulations (UU No. 2 Tahun 2002 regarding the Indonesian National Armed Forces and related civilian security statutes)</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Monthly retainer for Military Officer (Lieutenant Colonel, retired) – full-time engagement in Indonesia Jakarta</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Initial security facility assessment and risk audit (all Jakarta sites)</w:t>
            </w:r>
          </w:p>
        </w:tc>
        <w:tc>
          <w:tcPr/>
          <w:p>
            <w:pPr>
              <w:pStyle w:val="Compact"/>
              <w:jc w:val="left"/>
            </w:pPr>
            <w:r>
              <w:t xml:space="preserve">One-time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Executive protection detail (2 armed security personnel under Military Officer command)</w:t>
            </w:r>
          </w:p>
        </w:tc>
        <w:tc>
          <w:tcPr/>
          <w:p>
            <w:pPr>
              <w:pStyle w:val="Compact"/>
              <w:jc w:val="left"/>
            </w:pPr>
            <w:r>
              <w:t xml:space="preserve">12 months</w:t>
            </w:r>
          </w:p>
        </w:tc>
        <w:tc>
          <w:tcPr/>
          <w:p>
            <w:pPr>
              <w:pStyle w:val="Compact"/>
              <w:jc w:val="left"/>
            </w:pPr>
            <w:r>
              <w:t xml:space="preserve">38,000,000</w:t>
            </w:r>
          </w:p>
        </w:tc>
        <w:tc>
          <w:tcPr/>
          <w:p>
            <w:pPr>
              <w:pStyle w:val="Compact"/>
              <w:jc w:val="left"/>
            </w:pPr>
            <w:r>
              <w:t xml:space="preserve">456,000,000</w:t>
            </w:r>
          </w:p>
        </w:tc>
      </w:tr>
      <w:tr>
        <w:tc>
          <w:tcPr/>
          <w:p>
            <w:pPr>
              <w:pStyle w:val="Compact"/>
              <w:jc w:val="left"/>
            </w:pPr>
            <w:r>
              <w:t xml:space="preserve">4</w:t>
            </w:r>
          </w:p>
        </w:tc>
        <w:tc>
          <w:tcPr/>
          <w:p>
            <w:pPr>
              <w:pStyle w:val="Compact"/>
              <w:jc w:val="left"/>
            </w:pPr>
            <w:r>
              <w:t xml:space="preserve">Weekly threat intelligence briefing and monthly operational report</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5</w:t>
            </w:r>
          </w:p>
        </w:tc>
        <w:tc>
          <w:tcPr/>
          <w:p>
            <w:pPr>
              <w:pStyle w:val="Compact"/>
              <w:jc w:val="left"/>
            </w:pPr>
            <w:r>
              <w:t xml:space="preserve">Emergency response plan development and annual crisis simulation exercise</w:t>
            </w:r>
          </w:p>
        </w:tc>
        <w:tc>
          <w:tcPr/>
          <w:p>
            <w:pPr>
              <w:pStyle w:val="Compact"/>
              <w:jc w:val="left"/>
            </w:pPr>
            <w:r>
              <w:t xml:space="preserve">One-time + annual</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6</w:t>
            </w:r>
          </w:p>
        </w:tc>
        <w:tc>
          <w:tcPr/>
          <w:p>
            <w:pPr>
              <w:pStyle w:val="Compact"/>
              <w:jc w:val="left"/>
            </w:pPr>
            <w:r>
              <w:t xml:space="preserve">Transportation and logistics (dedicated vehicle, fuel, Jakarta metro area travel)</w:t>
            </w:r>
          </w:p>
        </w:tc>
        <w:tc>
          <w:tcPr/>
          <w:p>
            <w:pPr>
              <w:pStyle w:val="Compact"/>
              <w:jc w:val="left"/>
            </w:pPr>
            <w:r>
              <w:t xml:space="preserve">12 months</w:t>
            </w:r>
          </w:p>
        </w:tc>
        <w:tc>
          <w:tcPr/>
          <w:p>
            <w:pPr>
              <w:pStyle w:val="Compact"/>
              <w:jc w:val="left"/>
            </w:pPr>
            <w:r>
              <w:t xml:space="preserve">18,000,000</w:t>
            </w:r>
          </w:p>
        </w:tc>
        <w:tc>
          <w:tcPr/>
          <w:p>
            <w:pPr>
              <w:pStyle w:val="Compact"/>
              <w:jc w:val="left"/>
            </w:pPr>
            <w:r>
              <w:t xml:space="preserve">216,000,000</w:t>
            </w:r>
          </w:p>
        </w:tc>
      </w:tr>
      <w:tr>
        <w:tc>
          <w:tcPr/>
          <w:p>
            <w:pPr>
              <w:pStyle w:val="Compact"/>
              <w:jc w:val="left"/>
            </w:pPr>
            <w:r>
              <w:t xml:space="preserve">7</w:t>
            </w:r>
          </w:p>
        </w:tc>
        <w:tc>
          <w:tcPr/>
          <w:p>
            <w:pPr>
              <w:pStyle w:val="Compact"/>
              <w:jc w:val="left"/>
            </w:pPr>
            <w:r>
              <w:t xml:space="preserve">Communication equipment and secure radio system (one-time setup)</w:t>
            </w:r>
          </w:p>
        </w:tc>
        <w:tc>
          <w:tcPr/>
          <w:p>
            <w:pPr>
              <w:pStyle w:val="Compact"/>
              <w:jc w:val="left"/>
            </w:pPr>
            <w:r>
              <w:t xml:space="preserve">One-time</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8</w:t>
            </w:r>
          </w:p>
        </w:tc>
        <w:tc>
          <w:tcPr/>
          <w:p>
            <w:pPr>
              <w:pStyle w:val="Compact"/>
              <w:jc w:val="left"/>
            </w:pPr>
            <w:r>
              <w:t xml:space="preserve">Administrative and regulatory compliance fees (permits, licensing for Indonesia Jakarta operations)</w:t>
            </w:r>
          </w:p>
        </w:tc>
        <w:tc>
          <w:tcPr/>
          <w:p>
            <w:pPr>
              <w:pStyle w:val="Compact"/>
              <w:jc w:val="left"/>
            </w:pPr>
            <w:r>
              <w:t xml:space="preserve">One-time</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left"/>
            </w:pPr>
            <w:r>
              <w:t xml:space="preserve">TOTAL ESTIMATED COST (IDR)</w:t>
            </w:r>
          </w:p>
        </w:tc>
        <w:tc>
          <w:tcPr/>
          <w:p>
            <w:pPr>
              <w:pStyle w:val="Compact"/>
              <w:jc w:val="left"/>
            </w:pPr>
            <w:r>
              <w:t xml:space="preserve">1,959,000,000</w:t>
            </w:r>
          </w:p>
        </w:tc>
      </w:tr>
      <w:tr>
        <w:tc>
          <w:tcPr>
            <w:gridSpan w:val="4"/>
          </w:tcPr>
          <w:p>
            <w:pPr>
              <w:pStyle w:val="Compact"/>
              <w:jc w:val="left"/>
            </w:pPr>
            <w:r>
              <w:t xml:space="preserve">VAT (11% – Indonesian Value Added Tax)</w:t>
            </w:r>
          </w:p>
        </w:tc>
        <w:tc>
          <w:tcPr/>
          <w:p>
            <w:pPr>
              <w:pStyle w:val="Compact"/>
              <w:jc w:val="left"/>
            </w:pPr>
            <w:r>
              <w:t xml:space="preserve">215,490,000</w:t>
            </w:r>
          </w:p>
        </w:tc>
      </w:tr>
      <w:tr>
        <w:tc>
          <w:tcPr>
            <w:gridSpan w:val="4"/>
          </w:tcPr>
          <w:p>
            <w:pPr>
              <w:pStyle w:val="Compact"/>
              <w:jc w:val="left"/>
            </w:pPr>
            <w:r>
              <w:t xml:space="preserve">GRAND TOTAL (IDR)</w:t>
            </w:r>
          </w:p>
        </w:tc>
        <w:tc>
          <w:tcPr/>
          <w:p>
            <w:pPr>
              <w:pStyle w:val="Compact"/>
              <w:jc w:val="left"/>
            </w:pPr>
            <w:r>
              <w:t xml:space="preserve">2,174,490,000</w:t>
            </w:r>
          </w:p>
        </w:tc>
      </w:tr>
    </w:tbl>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(IDR)</w:t>
            </w:r>
          </w:p>
        </w:tc>
        <w:tc>
          <w:tcPr/>
          <w:p>
            <w:pPr>
              <w:pStyle w:val="Compact"/>
              <w:jc w:val="left"/>
            </w:pPr>
            <w:r>
              <w:t xml:space="preserve">Due Date</w:t>
            </w:r>
          </w:p>
        </w:tc>
      </w:tr>
      <w:tr>
        <w:tc>
          <w:tcPr/>
          <w:p>
            <w:pPr>
              <w:pStyle w:val="Compact"/>
              <w:jc w:val="left"/>
            </w:pPr>
            <w:r>
              <w:t xml:space="preserve">Contract signing and mobilization</w:t>
            </w:r>
          </w:p>
        </w:tc>
        <w:tc>
          <w:tcPr/>
          <w:p>
            <w:pPr>
              <w:pStyle w:val="Compact"/>
              <w:jc w:val="left"/>
            </w:pPr>
            <w:r>
              <w:t xml:space="preserve">30%</w:t>
            </w:r>
          </w:p>
        </w:tc>
        <w:tc>
          <w:tcPr/>
          <w:p>
            <w:pPr>
              <w:pStyle w:val="Compact"/>
              <w:jc w:val="left"/>
            </w:pPr>
            <w:r>
              <w:t xml:space="preserve">652,347,000</w:t>
            </w:r>
          </w:p>
        </w:tc>
        <w:tc>
          <w:tcPr/>
          <w:p>
            <w:pPr>
              <w:pStyle w:val="Compact"/>
              <w:jc w:val="left"/>
            </w:pPr>
            <w:r>
              <w:t xml:space="preserve">Within 7 days of acceptance</w:t>
            </w:r>
          </w:p>
        </w:tc>
      </w:tr>
      <w:tr>
        <w:tc>
          <w:tcPr/>
          <w:p>
            <w:pPr>
              <w:pStyle w:val="Compact"/>
              <w:jc w:val="left"/>
            </w:pPr>
            <w:r>
              <w:t xml:space="preserve">Monthly service fee (recurring)</w:t>
            </w:r>
          </w:p>
        </w:tc>
        <w:tc>
          <w:tcPr/>
          <w:p>
            <w:pPr>
              <w:pStyle w:val="Compact"/>
              <w:jc w:val="left"/>
            </w:pPr>
            <w:r>
              <w:t xml:space="preserve">5.83% / month</w:t>
            </w:r>
          </w:p>
        </w:tc>
        <w:tc>
          <w:tcPr/>
          <w:p>
            <w:pPr>
              <w:pStyle w:val="Compact"/>
              <w:jc w:val="left"/>
            </w:pPr>
            <w:r>
              <w:t xml:space="preserve">126,916,250</w:t>
            </w:r>
          </w:p>
        </w:tc>
        <w:tc>
          <w:tcPr/>
          <w:p>
            <w:pPr>
              <w:pStyle w:val="Compact"/>
              <w:jc w:val="left"/>
            </w:pPr>
            <w:r>
              <w:t xml:space="preserve">1st of each month</w:t>
            </w:r>
          </w:p>
        </w:tc>
      </w:tr>
      <w:tr>
        <w:tc>
          <w:tcPr/>
          <w:p>
            <w:pPr>
              <w:pStyle w:val="Compact"/>
              <w:jc w:val="left"/>
            </w:pPr>
            <w:r>
              <w:t xml:space="preserve">Final settlement and demobilization</w:t>
            </w:r>
          </w:p>
        </w:tc>
        <w:tc>
          <w:tcPr/>
          <w:p>
            <w:pPr>
              <w:pStyle w:val="Compact"/>
              <w:jc w:val="left"/>
            </w:pPr>
            <w:r>
              <w:t xml:space="preserve">Balance</w:t>
            </w:r>
          </w:p>
        </w:tc>
        <w:tc>
          <w:tcPr/>
          <w:p>
            <w:pPr>
              <w:pStyle w:val="Compact"/>
              <w:jc w:val="left"/>
            </w:pPr>
            <w:r>
              <w:t xml:space="preserve">As applicable</w:t>
            </w:r>
          </w:p>
        </w:tc>
        <w:tc>
          <w:tcPr/>
          <w:p>
            <w:pPr>
              <w:pStyle w:val="Compact"/>
              <w:jc w:val="left"/>
            </w:pPr>
            <w:r>
              <w:t xml:space="preserve">End of contract term</w:t>
            </w:r>
          </w:p>
        </w:tc>
      </w:tr>
    </w:tbl>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market conditions in</w:t>
      </w:r>
      <w:r>
        <w:t xml:space="preserve"> </w:t>
      </w:r>
      <w:r>
        <w:t xml:space="preserve">Indonesia Jakarta</w:t>
      </w:r>
      <w:r>
        <w:t xml:space="preserve">.</w:t>
      </w:r>
    </w:p>
    <w:p>
      <w:pPr>
        <w:numPr>
          <w:ilvl w:val="0"/>
          <w:numId w:val="1002"/>
        </w:numPr>
        <w:pStyle w:val="Compact"/>
      </w:pPr>
      <w:r>
        <w:t xml:space="preserve">The</w:t>
      </w:r>
      <w:r>
        <w:t xml:space="preserve"> </w:t>
      </w:r>
      <w:r>
        <w:t xml:space="preserve">Military Officer</w:t>
      </w:r>
      <w:r>
        <w:t xml:space="preserve"> </w:t>
      </w:r>
      <w:r>
        <w:t xml:space="preserve">engaged under this quotation shall be a verified retired officer of the Indonesian National Armed Forces (TNI) with a minimum of fifteen (15) years of active service and a clean disciplinary record.</w:t>
      </w:r>
    </w:p>
    <w:p>
      <w:pPr>
        <w:numPr>
          <w:ilvl w:val="0"/>
          <w:numId w:val="1002"/>
        </w:numPr>
        <w:pStyle w:val="Compact"/>
      </w:pPr>
      <w:r>
        <w:t xml:space="preserve">All services shall be performed in strict compliance with Indonesian law, including but not limited to the National Security Law, the Private Security Services Act, and local Jakarta municipal regulations.</w:t>
      </w:r>
    </w:p>
    <w:p>
      <w:pPr>
        <w:numPr>
          <w:ilvl w:val="0"/>
          <w:numId w:val="1002"/>
        </w:numPr>
        <w:pStyle w:val="Compact"/>
      </w:pPr>
      <w:r>
        <w:t xml:space="preserve">PT Nusantara Security &amp; Advisory Group shall maintain full professional liability insurance coverage of no less than IDR 5,000,000,000 for all personnel deployed in</w:t>
      </w:r>
      <w:r>
        <w:t xml:space="preserve"> </w:t>
      </w:r>
      <w:r>
        <w:t xml:space="preserve">Indonesia Jakarta</w:t>
      </w:r>
      <w:r>
        <w:t xml:space="preserve">.</w:t>
      </w:r>
    </w:p>
    <w:p>
      <w:pPr>
        <w:numPr>
          <w:ilvl w:val="0"/>
          <w:numId w:val="1002"/>
        </w:numPr>
        <w:pStyle w:val="Compact"/>
      </w:pPr>
      <w:r>
        <w:t xml:space="preserve">The client reserves the right to request a replacement of the</w:t>
      </w:r>
      <w:r>
        <w:t xml:space="preserve"> </w:t>
      </w:r>
      <w:r>
        <w:t xml:space="preserve">Military Officer</w:t>
      </w:r>
      <w:r>
        <w:t xml:space="preserve"> </w:t>
      </w:r>
      <w:r>
        <w:t xml:space="preserve">with equivalent rank and qualifications upon thirty (30) days written notice, at no additional cost.</w:t>
      </w:r>
    </w:p>
    <w:p>
      <w:pPr>
        <w:numPr>
          <w:ilvl w:val="0"/>
          <w:numId w:val="1002"/>
        </w:numPr>
        <w:pStyle w:val="Compact"/>
      </w:pPr>
      <w:r>
        <w:t xml:space="preserve">All costs are quoted in Indonesian Rupiah (IDR). Any international transfer fees shall be borne by the client.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w:t>
      </w:r>
    </w:p>
    <w:p>
      <w:pPr>
        <w:numPr>
          <w:ilvl w:val="0"/>
          <w:numId w:val="1002"/>
        </w:numPr>
        <w:pStyle w:val="Compact"/>
      </w:pPr>
      <w:r>
        <w:t xml:space="preserve">Confidentiality: All operational details, threat assessments, and client information shall be treated as strictly confidential and shall not be disclosed to any third party without written consent.</w:t>
      </w:r>
    </w:p>
    <w:p>
      <w:pPr>
        <w:numPr>
          <w:ilvl w:val="0"/>
          <w:numId w:val="1002"/>
        </w:numPr>
        <w:pStyle w:val="Compact"/>
      </w:pPr>
      <w:r>
        <w:t xml:space="preserve">Force majeure events, including but not limited to natural disasters common to the Jakarta region (flooding, volcanic activity), shall be addressed per the terms of the formal agreement.</w:t>
      </w:r>
    </w:p>
    <w:p>
      <w:pPr>
        <w:numPr>
          <w:ilvl w:val="0"/>
          <w:numId w:val="1002"/>
        </w:numPr>
        <w:pStyle w:val="Compact"/>
      </w:pPr>
      <w:r>
        <w:t xml:space="preserve">Disputes arising from this engagement shall be resolved through arbitration in Jakarta, Indonesia, in accordance with the rules of the Indonesian National Arbitration Board (BANI).</w:t>
      </w:r>
    </w:p>
    <w:p>
      <w:pPr>
        <w:pStyle w:val="FirstParagraph"/>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a</w:t>
      </w:r>
      <w:r>
        <w:t xml:space="preserve"> </w:t>
      </w:r>
      <w:r>
        <w:t xml:space="preserve">Military Officer</w:t>
      </w:r>
      <w:r>
        <w:t xml:space="preserve"> </w:t>
      </w:r>
      <w:r>
        <w:t xml:space="preserve">in</w:t>
      </w:r>
      <w:r>
        <w:t xml:space="preserve"> </w:t>
      </w:r>
      <w:r>
        <w:t xml:space="preserve">Indonesia Jakarta</w:t>
      </w:r>
      <w:r>
        <w:t xml:space="preserve">. This acceptance does not constitute a final contract but serves as authorization to proceed with the formal Service Agreement drafting.</w:t>
      </w:r>
    </w:p>
    <w:p>
      <w:pPr>
        <w:pStyle w:val="BodyText"/>
      </w:pPr>
      <w:r>
        <w:rPr>
          <w:bCs/>
          <w:b/>
        </w:rPr>
        <w:t xml:space="preserve">For PT Nusantara Security &amp; Advisory Group</w:t>
      </w:r>
    </w:p>
    <w:p>
      <w:pPr>
        <w:pStyle w:val="BodyText"/>
      </w:pPr>
      <w:r>
        <w:t xml:space="preserve">Col. (Ret.) Bambang Sutrisno</w:t>
      </w:r>
    </w:p>
    <w:p>
      <w:pPr>
        <w:pStyle w:val="BodyText"/>
      </w:pPr>
      <w:r>
        <w:t xml:space="preserve">Director &amp; Chief of Operations</w:t>
      </w:r>
    </w:p>
    <w:p>
      <w:pPr>
        <w:pStyle w:val="BodyText"/>
      </w:pPr>
      <w:r>
        <w:t xml:space="preserve">Date: _______________</w:t>
      </w:r>
    </w:p>
    <w:p>
      <w:pPr>
        <w:pStyle w:val="BodyText"/>
      </w:pPr>
      <w:r>
        <w:rPr>
          <w:bCs/>
          <w:b/>
        </w:rPr>
        <w:t xml:space="preserve">For PT Global Trade Indonesia (Client)</w:t>
      </w:r>
    </w:p>
    <w:p>
      <w:pPr>
        <w:pStyle w:val="BodyText"/>
      </w:pPr>
      <w:r>
        <w:t xml:space="preserve">Mr. Hendra Wijaya</w:t>
      </w:r>
    </w:p>
    <w:p>
      <w:pPr>
        <w:pStyle w:val="BodyText"/>
      </w:pPr>
      <w:r>
        <w:t xml:space="preserve">Director of Operations</w:t>
      </w:r>
    </w:p>
    <w:p>
      <w:pPr>
        <w:pStyle w:val="BodyText"/>
      </w:pPr>
      <w:r>
        <w:t xml:space="preserve">Date: _______________</w:t>
      </w:r>
    </w:p>
    <w:p>
      <w:pPr>
        <w:pStyle w:val="BodyText"/>
      </w:pPr>
      <w:r>
        <w:t xml:space="preserve">PT Nusantara Security &amp; Advisory Group | Jl. Jend. Sudirman Kav. 52-53, SCBD, Jakarta Selatan 12190, Indonesia</w:t>
      </w:r>
    </w:p>
    <w:p>
      <w:pPr>
        <w:pStyle w:val="BodyText"/>
      </w:pPr>
      <w:r>
        <w:t xml:space="preserve">This Quotation Estimate is the property of PT Nusantara Security &amp; Advisory Group. Unauthorized reproduction is prohibited.</w:t>
      </w:r>
    </w:p>
    <w:p>
      <w:pPr>
        <w:pStyle w:val="BodyText"/>
      </w:pPr>
      <w:r>
        <w:t xml:space="preserve">Document Reference: QTE-2025-JKT-0847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Indonesia Jakarta</dc:title>
  <dc:creator/>
  <dc:language>en</dc:language>
  <cp:keywords/>
  <dcterms:created xsi:type="dcterms:W3CDTF">2026-10-10T07:03:42Z</dcterms:created>
  <dcterms:modified xsi:type="dcterms:W3CDTF">2026-10-10T07:03:42Z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