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Military Officer Advisory &amp; Security Services</w:t>
      </w:r>
    </w:p>
    <w:p>
      <w:pPr>
        <w:pStyle w:val="BodyText"/>
      </w:pPr>
      <w:r>
        <w:t xml:space="preserve">OFFICIAL DOCUMENT – 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QTE-IL-JLM-2025-0417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Defence Advisory &amp; Personnel Solutions Ltd., 42 King George Street, Jerusalem, Israel</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Israel, Jerusalem – All Districts (Judea &amp; Samaria coordination as applicable)</w:t>
            </w:r>
          </w:p>
        </w:tc>
      </w:tr>
      <w:tr>
        <w:tc>
          <w:tcPr/>
          <w:p>
            <w:pPr>
              <w:pStyle w:val="Compact"/>
              <w:jc w:val="left"/>
            </w:pPr>
            <w:r>
              <w:t xml:space="preserve">Currency:</w:t>
            </w:r>
          </w:p>
        </w:tc>
        <w:tc>
          <w:tcPr/>
          <w:p>
            <w:pPr>
              <w:pStyle w:val="Compact"/>
              <w:jc w:val="left"/>
            </w:pPr>
            <w:r>
              <w:t xml:space="preserve">New Israeli Shekels (ILS / ₪)</w:t>
            </w:r>
          </w:p>
        </w:tc>
      </w:tr>
    </w:tbl>
    <w:bookmarkStart w:id="21" w:name="purpose-of-this-quotation-estimate"/>
    <w:p>
      <w:pPr>
        <w:pStyle w:val="Heading2"/>
      </w:pPr>
      <w:r>
        <w:t xml:space="preserve">1. Purpose of This Quotation Estimate</w:t>
      </w:r>
    </w:p>
    <w:p>
      <w:pPr>
        <w:pStyle w:val="FirstParagraph"/>
      </w:pPr>
      <w:r>
        <w:t xml:space="preserve">This Quotation Estimate is issued by Defence Advisory &amp; Personnel Solutions Ltd. to provide a comprehensive, itemized financial breakdown for the engagement of a qualified Military Officer to deliver advisory, operational planning, and security coordination services within the jurisdiction of Israel, Jerusalem. This document serves as a formal Quotation Estimate and does not constitute a binding contract until countersigned by both parties in accordance with the terms outlined herein.</w:t>
      </w:r>
    </w:p>
    <w:bookmarkEnd w:id="21"/>
    <w:bookmarkStart w:id="22" w:name="Xb48e5c6dbf756dff8d457156b9491e25836a9e1"/>
    <w:p>
      <w:pPr>
        <w:pStyle w:val="Heading2"/>
      </w:pPr>
      <w:r>
        <w:t xml:space="preserve">2. Scope of Services – Military Officer Engagement</w:t>
      </w:r>
    </w:p>
    <w:p>
      <w:pPr>
        <w:pStyle w:val="FirstParagraph"/>
      </w:pPr>
      <w:r>
        <w:t xml:space="preserve">The Military Officer to be engaged under this Quotation Estimate shall hold a minimum rank of Major (Maj) or equivalent in the Israel Defense Forces (IDF) or a recognized allied armed service. The Military Officer shall possess a minimum of fifteen (15) years of active and reserve service, with demonstrated operational experience in urban security environments, inter-agency coordination, and crisis management. The primary duty station for the Military Officer shall be within the city of Jerusalem, Israel, with the possibility of temporary deployment to adjacent coordination zones as operationally required.</w:t>
      </w:r>
    </w:p>
    <w:p>
      <w:pPr>
        <w:pStyle w:val="BodyText"/>
      </w:pPr>
      <w:r>
        <w:t xml:space="preserve">The scope of the Military Officer's responsibilities under this Quotation Estimate includes, but is not limited to: strategic security assessments for the Jerusalem metropolitan area; development of operational contingency plans; liaison with municipal, national, and regional security authorities; training and mentoring of civilian security personnel; and the provision of after-action reports following any significant security event within Israel, Jerusalem.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Monthly retainer – Military Officer (Senior Advisory Rank)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48,500</w:t>
            </w:r>
          </w:p>
        </w:tc>
        <w:tc>
          <w:tcPr/>
          <w:p>
            <w:pPr>
              <w:pStyle w:val="Compact"/>
              <w:jc w:val="left"/>
            </w:pPr>
            <w:r>
              <w:t xml:space="preserve">₪ 582,000</w:t>
            </w:r>
          </w:p>
        </w:tc>
      </w:tr>
      <w:tr>
        <w:tc>
          <w:tcPr/>
          <w:p>
            <w:pPr>
              <w:pStyle w:val="Compact"/>
              <w:jc w:val="left"/>
            </w:pPr>
            <w:r>
              <w:t xml:space="preserve">02</w:t>
            </w:r>
          </w:p>
        </w:tc>
        <w:tc>
          <w:tcPr/>
          <w:p>
            <w:pPr>
              <w:pStyle w:val="Compact"/>
              <w:jc w:val="left"/>
            </w:pPr>
            <w:r>
              <w:t xml:space="preserve">Operational planning &amp; strategic assessment deliverables (quarterly)</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 12,000</w:t>
            </w:r>
          </w:p>
        </w:tc>
        <w:tc>
          <w:tcPr/>
          <w:p>
            <w:pPr>
              <w:pStyle w:val="Compact"/>
              <w:jc w:val="left"/>
            </w:pPr>
            <w:r>
              <w:t xml:space="preserve">₪ 48,000</w:t>
            </w:r>
          </w:p>
        </w:tc>
      </w:tr>
      <w:tr>
        <w:tc>
          <w:tcPr/>
          <w:p>
            <w:pPr>
              <w:pStyle w:val="Compact"/>
              <w:jc w:val="left"/>
            </w:pPr>
            <w:r>
              <w:t xml:space="preserve">03</w:t>
            </w:r>
          </w:p>
        </w:tc>
        <w:tc>
          <w:tcPr/>
          <w:p>
            <w:pPr>
              <w:pStyle w:val="Compact"/>
              <w:jc w:val="left"/>
            </w:pPr>
            <w:r>
              <w:t xml:space="preserve">Emergency response &amp; crisis management on-call availability (24/7)</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6,200</w:t>
            </w:r>
          </w:p>
        </w:tc>
        <w:tc>
          <w:tcPr/>
          <w:p>
            <w:pPr>
              <w:pStyle w:val="Compact"/>
              <w:jc w:val="left"/>
            </w:pPr>
            <w:r>
              <w:t xml:space="preserve">₪ 74,400</w:t>
            </w:r>
          </w:p>
        </w:tc>
      </w:tr>
      <w:tr>
        <w:tc>
          <w:tcPr/>
          <w:p>
            <w:pPr>
              <w:pStyle w:val="Compact"/>
              <w:jc w:val="left"/>
            </w:pPr>
            <w:r>
              <w:t xml:space="preserve">04</w:t>
            </w:r>
          </w:p>
        </w:tc>
        <w:tc>
          <w:tcPr/>
          <w:p>
            <w:pPr>
              <w:pStyle w:val="Compact"/>
              <w:jc w:val="left"/>
            </w:pPr>
            <w:r>
              <w:t xml:space="preserve">Training &amp; mentoring sessions for client security staff (Jerusalem HQ)</w:t>
            </w:r>
          </w:p>
        </w:tc>
        <w:tc>
          <w:tcPr/>
          <w:p>
            <w:pPr>
              <w:pStyle w:val="Compact"/>
              <w:jc w:val="left"/>
            </w:pPr>
            <w:r>
              <w:t xml:space="preserve">Session (8 hrs)</w:t>
            </w:r>
          </w:p>
        </w:tc>
        <w:tc>
          <w:tcPr/>
          <w:p>
            <w:pPr>
              <w:pStyle w:val="Compact"/>
              <w:jc w:val="left"/>
            </w:pPr>
            <w:r>
              <w:t xml:space="preserve">24</w:t>
            </w:r>
          </w:p>
        </w:tc>
        <w:tc>
          <w:tcPr/>
          <w:p>
            <w:pPr>
              <w:pStyle w:val="Compact"/>
              <w:jc w:val="left"/>
            </w:pPr>
            <w:r>
              <w:t xml:space="preserve">₪ 3,800</w:t>
            </w:r>
          </w:p>
        </w:tc>
        <w:tc>
          <w:tcPr/>
          <w:p>
            <w:pPr>
              <w:pStyle w:val="Compact"/>
              <w:jc w:val="left"/>
            </w:pPr>
            <w:r>
              <w:t xml:space="preserve">₪ 91,200</w:t>
            </w:r>
          </w:p>
        </w:tc>
      </w:tr>
      <w:tr>
        <w:tc>
          <w:tcPr/>
          <w:p>
            <w:pPr>
              <w:pStyle w:val="Compact"/>
              <w:jc w:val="left"/>
            </w:pPr>
            <w:r>
              <w:t xml:space="preserve">05</w:t>
            </w:r>
          </w:p>
        </w:tc>
        <w:tc>
          <w:tcPr/>
          <w:p>
            <w:pPr>
              <w:pStyle w:val="Compact"/>
              <w:jc w:val="left"/>
            </w:pPr>
            <w:r>
              <w:t xml:space="preserve">Inter-agency liaison &amp; coordination support (Israel, Jerusalem municipal &amp; national bodies)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4,500</w:t>
            </w:r>
          </w:p>
        </w:tc>
        <w:tc>
          <w:tcPr/>
          <w:p>
            <w:pPr>
              <w:pStyle w:val="Compact"/>
              <w:jc w:val="left"/>
            </w:pPr>
            <w:r>
              <w:t xml:space="preserve">₪ 54,000</w:t>
            </w:r>
          </w:p>
        </w:tc>
      </w:tr>
      <w:tr>
        <w:tc>
          <w:tcPr/>
          <w:p>
            <w:pPr>
              <w:pStyle w:val="Compact"/>
              <w:jc w:val="left"/>
            </w:pPr>
            <w:r>
              <w:t xml:space="preserve">06</w:t>
            </w:r>
          </w:p>
        </w:tc>
        <w:tc>
          <w:tcPr/>
          <w:p>
            <w:pPr>
              <w:pStyle w:val="Compact"/>
              <w:jc w:val="left"/>
            </w:pPr>
            <w:r>
              <w:t xml:space="preserve">Security infrastructure audit – Jerusalem district facilities</w:t>
            </w:r>
          </w:p>
        </w:tc>
        <w:tc>
          <w:tcPr/>
          <w:p>
            <w:pPr>
              <w:pStyle w:val="Compact"/>
              <w:jc w:val="left"/>
            </w:pPr>
            <w:r>
              <w:t xml:space="preserve">Audit</w:t>
            </w:r>
          </w:p>
        </w:tc>
        <w:tc>
          <w:tcPr/>
          <w:p>
            <w:pPr>
              <w:pStyle w:val="Compact"/>
              <w:jc w:val="left"/>
            </w:pPr>
            <w:r>
              <w:t xml:space="preserve">2</w:t>
            </w:r>
          </w:p>
        </w:tc>
        <w:tc>
          <w:tcPr/>
          <w:p>
            <w:pPr>
              <w:pStyle w:val="Compact"/>
              <w:jc w:val="left"/>
            </w:pPr>
            <w:r>
              <w:t xml:space="preserve">₪ 18,500</w:t>
            </w:r>
          </w:p>
        </w:tc>
        <w:tc>
          <w:tcPr/>
          <w:p>
            <w:pPr>
              <w:pStyle w:val="Compact"/>
              <w:jc w:val="left"/>
            </w:pPr>
            <w:r>
              <w:t xml:space="preserve">₪ 37,000</w:t>
            </w:r>
          </w:p>
        </w:tc>
      </w:tr>
      <w:tr>
        <w:tc>
          <w:tcPr/>
          <w:p>
            <w:pPr>
              <w:pStyle w:val="Compact"/>
              <w:jc w:val="left"/>
            </w:pPr>
            <w:r>
              <w:t xml:space="preserve">07</w:t>
            </w:r>
          </w:p>
        </w:tc>
        <w:tc>
          <w:tcPr/>
          <w:p>
            <w:pPr>
              <w:pStyle w:val="Compact"/>
              <w:jc w:val="left"/>
            </w:pPr>
            <w:r>
              <w:t xml:space="preserve">Administrative overhead, insurance, and compliance (Israel regulatory framework)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3,200</w:t>
            </w:r>
          </w:p>
        </w:tc>
        <w:tc>
          <w:tcPr/>
          <w:p>
            <w:pPr>
              <w:pStyle w:val="Compact"/>
              <w:jc w:val="left"/>
            </w:pPr>
            <w:r>
              <w:t xml:space="preserve">₪ 38,400</w:t>
            </w:r>
          </w:p>
        </w:tc>
      </w:tr>
      <w:tr>
        <w:tc>
          <w:tcPr/>
          <w:p>
            <w:pPr>
              <w:pStyle w:val="Compact"/>
              <w:jc w:val="left"/>
            </w:pPr>
            <w:r>
              <w:t xml:space="preserve">08</w:t>
            </w:r>
          </w:p>
        </w:tc>
        <w:tc>
          <w:tcPr/>
          <w:p>
            <w:pPr>
              <w:pStyle w:val="Compact"/>
              <w:jc w:val="left"/>
            </w:pPr>
            <w:r>
              <w:t xml:space="preserve">Travel &amp; logistics within Israel, Jerusalem and coordination zones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2,100</w:t>
            </w:r>
          </w:p>
        </w:tc>
        <w:tc>
          <w:tcPr/>
          <w:p>
            <w:pPr>
              <w:pStyle w:val="Compact"/>
              <w:jc w:val="left"/>
            </w:pPr>
            <w:r>
              <w:t xml:space="preserve">₪ 25,200</w:t>
            </w:r>
          </w:p>
        </w:tc>
      </w:tr>
      <w:tr>
        <w:tc>
          <w:tcPr>
            <w:gridSpan w:val="5"/>
          </w:tcPr>
          <w:p>
            <w:pPr>
              <w:pStyle w:val="Compact"/>
              <w:jc w:val="left"/>
            </w:pPr>
            <w:r>
              <w:t xml:space="preserve">SUBTOTAL</w:t>
            </w:r>
          </w:p>
        </w:tc>
        <w:tc>
          <w:tcPr/>
          <w:p>
            <w:pPr>
              <w:pStyle w:val="Compact"/>
              <w:jc w:val="left"/>
            </w:pPr>
            <w:r>
              <w:t xml:space="preserve">₪ 950,200</w:t>
            </w:r>
          </w:p>
        </w:tc>
      </w:tr>
      <w:tr>
        <w:tc>
          <w:tcPr>
            <w:gridSpan w:val="5"/>
          </w:tcPr>
          <w:p>
            <w:pPr>
              <w:pStyle w:val="Compact"/>
              <w:jc w:val="left"/>
            </w:pPr>
            <w:r>
              <w:t xml:space="preserve">VAT (18% – Israel Value Added Tax)</w:t>
            </w:r>
          </w:p>
        </w:tc>
        <w:tc>
          <w:tcPr/>
          <w:p>
            <w:pPr>
              <w:pStyle w:val="Compact"/>
              <w:jc w:val="left"/>
            </w:pPr>
            <w:r>
              <w:t xml:space="preserve">₪ 171,036</w:t>
            </w:r>
          </w:p>
        </w:tc>
      </w:tr>
      <w:tr>
        <w:tc>
          <w:tcPr>
            <w:gridSpan w:val="5"/>
          </w:tcPr>
          <w:p>
            <w:pPr>
              <w:pStyle w:val="Compact"/>
              <w:jc w:val="left"/>
            </w:pPr>
            <w:r>
              <w:t xml:space="preserve">GRAND TOTAL (Quotation Estimate)</w:t>
            </w:r>
          </w:p>
        </w:tc>
        <w:tc>
          <w:tcPr/>
          <w:p>
            <w:pPr>
              <w:pStyle w:val="Compact"/>
              <w:jc w:val="left"/>
            </w:pPr>
            <w:r>
              <w:t xml:space="preserve">₪ 1,121,236</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monthly installments, due within fifteen (15) business days of invoice issuance. The first installment shall be due upon the formal commencement of the Military Officer's engagement. All payments shall be processed via bank transfer to the designated account of Defence Advisory &amp; Personnel Solutions Ltd., Jerusalem, Israel. Late payments shall incur a penalty of 1.5% per month in accordance with Israeli commercial law.</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 Quotation Estimate is valid for thirty (30) calendar days from the date of issue. Beyond this period, all pricing is subject to revision based on prevailing market conditions in Israel.</w:t>
      </w:r>
    </w:p>
    <w:p>
      <w:pPr>
        <w:pStyle w:val="BodyText"/>
      </w:pPr>
      <w:r>
        <w:rPr>
          <w:bCs/>
          <w:b/>
        </w:rPr>
        <w:t xml:space="preserve">5.2</w:t>
      </w:r>
      <w:r>
        <w:t xml:space="preserve"> </w:t>
      </w:r>
      <w:r>
        <w:t xml:space="preserve">The Military Officer engaged under this Quotation Estimate shall be bound by strict confidentiality obligations in accordance with Israeli law, including the Protection of Privacy Law, 5741-1981, and any applicable IDF or national security regulations.</w:t>
      </w:r>
    </w:p>
    <w:p>
      <w:pPr>
        <w:pStyle w:val="BodyText"/>
      </w:pPr>
      <w:r>
        <w:rPr>
          <w:bCs/>
          <w:b/>
        </w:rPr>
        <w:t xml:space="preserve">5.3</w:t>
      </w:r>
      <w:r>
        <w:t xml:space="preserve"> </w:t>
      </w:r>
      <w:r>
        <w:t xml:space="preserve">The client reserves the right to request a replacement of the Military Officer with equivalent qualifications and rank, subject to a thirty (30) day notice period and mutual agreement.</w:t>
      </w:r>
    </w:p>
    <w:p>
      <w:pPr>
        <w:pStyle w:val="BodyText"/>
      </w:pPr>
      <w:r>
        <w:rPr>
          <w:bCs/>
          <w:b/>
        </w:rPr>
        <w:t xml:space="preserve">5.4</w:t>
      </w:r>
      <w:r>
        <w:t xml:space="preserve"> </w:t>
      </w:r>
      <w:r>
        <w:t xml:space="preserve">This Quotation Estimate does not include costs associated with special operations, classified intelligence access, or deployment beyond the defined scope of Israel, Jerusalem, unless a supplementary Quotation Estimate is issued and accepted.</w:t>
      </w:r>
    </w:p>
    <w:p>
      <w:pPr>
        <w:pStyle w:val="BodyText"/>
      </w:pPr>
      <w:r>
        <w:rPr>
          <w:bCs/>
          <w:b/>
        </w:rPr>
        <w:t xml:space="preserve">5.5</w:t>
      </w:r>
      <w:r>
        <w:t xml:space="preserve"> </w:t>
      </w:r>
      <w:r>
        <w:t xml:space="preserve">All services shall be performed in full compliance with the laws of the State of Israel, municipal regulations of Jerusalem, and applicable international standards for security personnel engagement.</w:t>
      </w:r>
    </w:p>
    <w:p>
      <w:pPr>
        <w:pStyle w:val="BodyText"/>
      </w:pPr>
      <w:r>
        <w:rPr>
          <w:bCs/>
          <w:b/>
        </w:rPr>
        <w:t xml:space="preserve">5.6</w:t>
      </w:r>
      <w:r>
        <w:t xml:space="preserve"> </w:t>
      </w:r>
      <w:r>
        <w:t xml:space="preserve">Disputes arising from this Quotation Estimate shall be resolved through arbitration in Jerusalem, Israel, in accordance with the rules of the Israel Arbitration Association.</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 Quotation Estimate has been reviewed, understood, and accepted in its entirety. The engagement of the Military Officer shall commence no earlier than the date of mutual signature and no later than fourteen (14) days thereafter.</w:t>
      </w:r>
    </w:p>
    <w:p>
      <w:pPr>
        <w:pStyle w:val="BodyText"/>
      </w:pPr>
      <w:r>
        <w:rPr>
          <w:bCs/>
          <w:b/>
        </w:rPr>
        <w:t xml:space="preserve">For Defence Advisory &amp; Personnel Solutions Ltd.</w:t>
      </w:r>
    </w:p>
    <w:p>
      <w:pPr>
        <w:pStyle w:val="BodyText"/>
      </w:pPr>
      <w:r>
        <w:t xml:space="preserve">Name: ______________________________</w:t>
      </w:r>
    </w:p>
    <w:p>
      <w:pPr>
        <w:pStyle w:val="BodyText"/>
      </w:pPr>
      <w:r>
        <w:t xml:space="preserve">Title: Director of Operations</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Client Organization</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Quotation Estimate No. QTE-IL-JLM-2025-0417 | Defence Advisory &amp; Personnel Solutions Ltd. | Jerusalem, Israel</w:t>
      </w:r>
    </w:p>
    <w:p>
      <w:pPr>
        <w:pStyle w:val="BodyText"/>
      </w:pPr>
      <w:r>
        <w:t xml:space="preserve">This document is the property of the issuing entity. Unauthorized reproduction or distribution is prohibited under Israeli law.</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Israel Jerusalem</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