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Japan</w:t>
      </w:r>
      <w:r>
        <w:t xml:space="preserve"> </w:t>
      </w:r>
      <w:r>
        <w:t xml:space="preserve">Kyoto</w:t>
      </w:r>
    </w:p>
    <w:bookmarkStart w:id="20" w:name="quotation-estimate"/>
    <w:p>
      <w:pPr>
        <w:pStyle w:val="Heading1"/>
      </w:pPr>
      <w:r>
        <w:t xml:space="preserve">QUOTATION ESTIMATE</w:t>
      </w:r>
    </w:p>
    <w:p>
      <w:pPr>
        <w:pStyle w:val="FirstParagraph"/>
      </w:pPr>
      <w:r>
        <w:t xml:space="preserve">Military Officer Advisory &amp; Security Services — Japan Kyoto Deployment</w:t>
      </w:r>
    </w:p>
    <w:p>
      <w:pPr>
        <w:pStyle w:val="BodyText"/>
      </w:pPr>
      <w:r>
        <w:t xml:space="preserve">Document Reference: QE-JK-2025-0472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Version:</w:t>
      </w:r>
      <w:r>
        <w:t xml:space="preserve"> </w:t>
      </w:r>
      <w:r>
        <w:t xml:space="preserve">1.0</w:t>
      </w:r>
    </w:p>
    <w:p>
      <w:pPr>
        <w:pStyle w:val="BodyText"/>
      </w:pPr>
      <w:r>
        <w:rPr>
          <w:bCs/>
          <w:b/>
        </w:rPr>
        <w:t xml:space="preserve">Prepared By:</w:t>
      </w:r>
      <w:r>
        <w:t xml:space="preserve"> </w:t>
      </w:r>
      <w:r>
        <w:t xml:space="preserve">Global Defense Advisory Group Ltd.</w:t>
      </w:r>
      <w:r>
        <w:br/>
      </w:r>
      <w:r>
        <w:rPr>
          <w:bCs/>
          <w:b/>
        </w:rPr>
        <w:t xml:space="preserve">Contact:</w:t>
      </w:r>
      <w:r>
        <w:t xml:space="preserve"> </w:t>
      </w:r>
      <w:r>
        <w:t xml:space="preserve">contracts@gdag-intl.com</w:t>
      </w:r>
      <w:r>
        <w:br/>
      </w:r>
      <w:r>
        <w:rPr>
          <w:bCs/>
          <w:b/>
        </w:rPr>
        <w:t xml:space="preserve">Phone:</w:t>
      </w:r>
      <w:r>
        <w:t xml:space="preserve"> </w:t>
      </w:r>
      <w:r>
        <w:t xml:space="preserve">+81-75-555-0142</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Organization</w:t>
            </w:r>
          </w:p>
        </w:tc>
        <w:tc>
          <w:tcPr/>
          <w:p>
            <w:pPr>
              <w:pStyle w:val="Compact"/>
              <w:jc w:val="left"/>
            </w:pPr>
            <w:r>
              <w:t xml:space="preserve">Ministry of Foreign Affairs — Kyoto Regional Office</w:t>
            </w:r>
          </w:p>
        </w:tc>
      </w:tr>
      <w:tr>
        <w:tc>
          <w:tcPr/>
          <w:p>
            <w:pPr>
              <w:pStyle w:val="Compact"/>
              <w:jc w:val="left"/>
            </w:pPr>
            <w:r>
              <w:t xml:space="preserve">Point of Contact</w:t>
            </w:r>
          </w:p>
        </w:tc>
        <w:tc>
          <w:tcPr/>
          <w:p>
            <w:pPr>
              <w:pStyle w:val="Compact"/>
              <w:jc w:val="left"/>
            </w:pPr>
            <w:r>
              <w:t xml:space="preserve">Director Tanaka, Security &amp; Protocol Division</w:t>
            </w:r>
          </w:p>
        </w:tc>
      </w:tr>
      <w:tr>
        <w:tc>
          <w:tcPr/>
          <w:p>
            <w:pPr>
              <w:pStyle w:val="Compact"/>
              <w:jc w:val="left"/>
            </w:pPr>
            <w:r>
              <w:t xml:space="preserve">Deployment Location</w:t>
            </w:r>
          </w:p>
        </w:tc>
        <w:tc>
          <w:tcPr/>
          <w:p>
            <w:pPr>
              <w:pStyle w:val="Compact"/>
              <w:jc w:val="left"/>
            </w:pPr>
            <w:r>
              <w:t xml:space="preserve">Kyoto, Japan (Kyoto Prefecture, Kansai Region)</w:t>
            </w:r>
          </w:p>
        </w:tc>
      </w:tr>
      <w:tr>
        <w:tc>
          <w:tcPr/>
          <w:p>
            <w:pPr>
              <w:pStyle w:val="Compact"/>
              <w:jc w:val="left"/>
            </w:pPr>
            <w:r>
              <w:t xml:space="preserve">Engagement Period</w:t>
            </w:r>
          </w:p>
        </w:tc>
        <w:tc>
          <w:tcPr/>
          <w:p>
            <w:pPr>
              <w:pStyle w:val="Compact"/>
              <w:jc w:val="left"/>
            </w:pPr>
            <w:r>
              <w:t xml:space="preserve">1 August 2025 – 31 January 2026 (6 months)</w:t>
            </w:r>
          </w:p>
        </w:tc>
      </w:tr>
    </w:tbl>
    <w:bookmarkEnd w:id="21"/>
    <w:bookmarkStart w:id="22" w:name="X1541602342d6512cc8430071b8a21c24babf0eb"/>
    <w:p>
      <w:pPr>
        <w:pStyle w:val="Heading2"/>
      </w:pPr>
      <w:r>
        <w:t xml:space="preserve">2. Scope of Services — Military Officer Deployment in Japan Kyoto</w:t>
      </w:r>
    </w:p>
    <w:p>
      <w:pPr>
        <w:pStyle w:val="FirstParagraph"/>
      </w:pPr>
      <w:r>
        <w:t xml:space="preserve">This Quotation Estimate outlines the comprehensive professional services to be rendered by a qualified Military Officer for assignment in Japan Kyoto. The Military Officer shall serve in an advisory and security coordination capacity, supporting the client organization's operational requirements in the Kyoto metropolitan area and surrounding prefectural regions. The scope encompasses the following deliverables:</w:t>
      </w:r>
    </w:p>
    <w:p>
      <w:pPr>
        <w:numPr>
          <w:ilvl w:val="0"/>
          <w:numId w:val="1001"/>
        </w:numPr>
        <w:pStyle w:val="Compact"/>
      </w:pPr>
      <w:r>
        <w:rPr>
          <w:bCs/>
          <w:b/>
        </w:rPr>
        <w:t xml:space="preserve">Security Assessment &amp; Threat Analysis:</w:t>
      </w:r>
      <w:r>
        <w:t xml:space="preserve"> </w:t>
      </w:r>
      <w:r>
        <w:t xml:space="preserve">The Military Officer shall conduct a full-spectrum security assessment of all client facilities located in Japan Kyoto, including the Kyoto Regional Office headquarters, diplomatic annexes, and temporary operational sites. This includes physical security audits, perimeter vulnerability reviews, and digital infrastructure threat evaluations specific to the Japan Kyoto urban environment.</w:t>
      </w:r>
    </w:p>
    <w:p>
      <w:pPr>
        <w:numPr>
          <w:ilvl w:val="0"/>
          <w:numId w:val="1001"/>
        </w:numPr>
        <w:pStyle w:val="Compact"/>
      </w:pPr>
      <w:r>
        <w:rPr>
          <w:bCs/>
          <w:b/>
        </w:rPr>
        <w:t xml:space="preserve">Protocol &amp; Liaison Coordination:</w:t>
      </w:r>
      <w:r>
        <w:t xml:space="preserve"> </w:t>
      </w:r>
      <w:r>
        <w:t xml:space="preserve">Acting as a senior liaison, the Military Officer will coordinate with the Japan Self-Defense Forces (JSDF) Kyoto District Command, the Kyoto Prefectural Police Department, and relevant national security agencies to ensure seamless inter-agency communication and joint operational readiness.</w:t>
      </w:r>
    </w:p>
    <w:p>
      <w:pPr>
        <w:numPr>
          <w:ilvl w:val="0"/>
          <w:numId w:val="1001"/>
        </w:numPr>
        <w:pStyle w:val="Compact"/>
      </w:pPr>
      <w:r>
        <w:rPr>
          <w:bCs/>
          <w:b/>
        </w:rPr>
        <w:t xml:space="preserve">Training &amp; Capacity Building:</w:t>
      </w:r>
      <w:r>
        <w:t xml:space="preserve"> </w:t>
      </w:r>
      <w:r>
        <w:t xml:space="preserve">The Military Officer shall design and deliver a structured training programme for client personnel stationed in Japan Kyoto, covering emergency response protocols, counter-surveillance awareness, crisis management, and diplomatic security best practices tailored to the unique cultural and geographic context of Kyoto.</w:t>
      </w:r>
    </w:p>
    <w:p>
      <w:pPr>
        <w:numPr>
          <w:ilvl w:val="0"/>
          <w:numId w:val="1001"/>
        </w:numPr>
        <w:pStyle w:val="Compact"/>
      </w:pPr>
      <w:r>
        <w:rPr>
          <w:bCs/>
          <w:b/>
        </w:rPr>
        <w:t xml:space="preserve">Operational Planning &amp; Contingency Development:</w:t>
      </w:r>
      <w:r>
        <w:t xml:space="preserve"> </w:t>
      </w:r>
      <w:r>
        <w:t xml:space="preserve">Development of detailed operational plans, evacuation routes, and contingency procedures for all client operations within the Japan Kyoto jurisdiction, factoring in seasonal risks such as typhoon season, seismic activity, and large-scale public events in the city.</w:t>
      </w:r>
    </w:p>
    <w:p>
      <w:pPr>
        <w:numPr>
          <w:ilvl w:val="0"/>
          <w:numId w:val="1001"/>
        </w:numPr>
        <w:pStyle w:val="Compact"/>
      </w:pPr>
      <w:r>
        <w:rPr>
          <w:bCs/>
          <w:b/>
        </w:rPr>
        <w:t xml:space="preserve">Monthly Reporting &amp; Strategic Review:</w:t>
      </w:r>
      <w:r>
        <w:t xml:space="preserve"> </w:t>
      </w:r>
      <w:r>
        <w:t xml:space="preserve">Submission of monthly intelligence summaries, security posture reports, and strategic recommendations to the client's senior leadership, with quarterly in-person briefings conducted at the Kyoto Regional Office.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Item</w:t>
            </w:r>
          </w:p>
        </w:tc>
        <w:tc>
          <w:tcPr/>
          <w:p>
            <w:pPr>
              <w:pStyle w:val="Compact"/>
              <w:jc w:val="left"/>
            </w:pPr>
            <w:r>
              <w:t xml:space="preserve">Unit</w:t>
            </w:r>
          </w:p>
        </w:tc>
        <w:tc>
          <w:tcPr/>
          <w:p>
            <w:pPr>
              <w:pStyle w:val="Compact"/>
              <w:jc w:val="left"/>
            </w:pPr>
            <w:r>
              <w:t xml:space="preserve">Unit Cost (JPY)</w:t>
            </w:r>
          </w:p>
        </w:tc>
        <w:tc>
          <w:tcPr/>
          <w:p>
            <w:pPr>
              <w:pStyle w:val="Compact"/>
              <w:jc w:val="left"/>
            </w:pPr>
            <w:r>
              <w:t xml:space="preserve">Total (JPY)</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Military Officer — Senior Advisory Retainer (Colonel-equivalent rank, 20+ years service)</w:t>
            </w:r>
          </w:p>
        </w:tc>
        <w:tc>
          <w:tcPr/>
          <w:p>
            <w:pPr>
              <w:pStyle w:val="Compact"/>
              <w:jc w:val="left"/>
            </w:pPr>
            <w:r>
              <w:t xml:space="preserve">Month</w:t>
            </w:r>
          </w:p>
        </w:tc>
        <w:tc>
          <w:tcPr/>
          <w:p>
            <w:pPr>
              <w:pStyle w:val="Compact"/>
              <w:jc w:val="left"/>
            </w:pPr>
            <w:r>
              <w:t xml:space="preserve">1,850,000</w:t>
            </w:r>
          </w:p>
        </w:tc>
        <w:tc>
          <w:tcPr/>
          <w:p>
            <w:pPr>
              <w:pStyle w:val="Compact"/>
              <w:jc w:val="left"/>
            </w:pPr>
            <w:r>
              <w:t xml:space="preserve">11,100,000</w:t>
            </w:r>
          </w:p>
        </w:tc>
        <w:tc>
          <w:tcPr/>
          <w:p>
            <w:pPr>
              <w:pStyle w:val="Compact"/>
              <w:jc w:val="left"/>
            </w:pPr>
            <w:r>
              <w:t xml:space="preserve">6 months</w:t>
            </w:r>
          </w:p>
        </w:tc>
      </w:tr>
      <w:tr>
        <w:tc>
          <w:tcPr/>
          <w:p>
            <w:pPr>
              <w:pStyle w:val="Compact"/>
              <w:jc w:val="left"/>
            </w:pPr>
            <w:r>
              <w:t xml:space="preserve">2</w:t>
            </w:r>
          </w:p>
        </w:tc>
        <w:tc>
          <w:tcPr/>
          <w:p>
            <w:pPr>
              <w:pStyle w:val="Compact"/>
              <w:jc w:val="left"/>
            </w:pPr>
            <w:r>
              <w:t xml:space="preserve">Security Assessment &amp; Facility Audit (Japan Kyoto sites)</w:t>
            </w:r>
          </w:p>
        </w:tc>
        <w:tc>
          <w:tcPr/>
          <w:p>
            <w:pPr>
              <w:pStyle w:val="Compact"/>
              <w:jc w:val="left"/>
            </w:pPr>
            <w:r>
              <w:t xml:space="preserve">Per site</w:t>
            </w:r>
          </w:p>
        </w:tc>
        <w:tc>
          <w:tcPr/>
          <w:p>
            <w:pPr>
              <w:pStyle w:val="Compact"/>
              <w:jc w:val="left"/>
            </w:pPr>
            <w:r>
              <w:t xml:space="preserve">420,000</w:t>
            </w:r>
          </w:p>
        </w:tc>
        <w:tc>
          <w:tcPr/>
          <w:p>
            <w:pPr>
              <w:pStyle w:val="Compact"/>
              <w:jc w:val="left"/>
            </w:pPr>
            <w:r>
              <w:t xml:space="preserve">1,680,000</w:t>
            </w:r>
          </w:p>
        </w:tc>
        <w:tc>
          <w:tcPr/>
          <w:p>
            <w:pPr>
              <w:pStyle w:val="Compact"/>
              <w:jc w:val="left"/>
            </w:pPr>
            <w:r>
              <w:t xml:space="preserve">4 sites</w:t>
            </w:r>
          </w:p>
        </w:tc>
      </w:tr>
      <w:tr>
        <w:tc>
          <w:tcPr/>
          <w:p>
            <w:pPr>
              <w:pStyle w:val="Compact"/>
              <w:jc w:val="left"/>
            </w:pPr>
            <w:r>
              <w:t xml:space="preserve">3</w:t>
            </w:r>
          </w:p>
        </w:tc>
        <w:tc>
          <w:tcPr/>
          <w:p>
            <w:pPr>
              <w:pStyle w:val="Compact"/>
              <w:jc w:val="left"/>
            </w:pPr>
            <w:r>
              <w:t xml:space="preserve">Training Programme Design &amp; Delivery (20-hour curriculum)</w:t>
            </w:r>
          </w:p>
        </w:tc>
        <w:tc>
          <w:tcPr/>
          <w:p>
            <w:pPr>
              <w:pStyle w:val="Compact"/>
              <w:jc w:val="left"/>
            </w:pPr>
            <w:r>
              <w:t xml:space="preserve">Per cohort</w:t>
            </w:r>
          </w:p>
        </w:tc>
        <w:tc>
          <w:tcPr/>
          <w:p>
            <w:pPr>
              <w:pStyle w:val="Compact"/>
              <w:jc w:val="left"/>
            </w:pPr>
            <w:r>
              <w:t xml:space="preserve">380,000</w:t>
            </w:r>
          </w:p>
        </w:tc>
        <w:tc>
          <w:tcPr/>
          <w:p>
            <w:pPr>
              <w:pStyle w:val="Compact"/>
              <w:jc w:val="left"/>
            </w:pPr>
            <w:r>
              <w:t xml:space="preserve">1,140,000</w:t>
            </w:r>
          </w:p>
        </w:tc>
        <w:tc>
          <w:tcPr/>
          <w:p>
            <w:pPr>
              <w:pStyle w:val="Compact"/>
              <w:jc w:val="left"/>
            </w:pPr>
            <w:r>
              <w:t xml:space="preserve">3 cohorts</w:t>
            </w:r>
          </w:p>
        </w:tc>
      </w:tr>
      <w:tr>
        <w:tc>
          <w:tcPr/>
          <w:p>
            <w:pPr>
              <w:pStyle w:val="Compact"/>
              <w:jc w:val="left"/>
            </w:pPr>
            <w:r>
              <w:t xml:space="preserve">4</w:t>
            </w:r>
          </w:p>
        </w:tc>
        <w:tc>
          <w:tcPr/>
          <w:p>
            <w:pPr>
              <w:pStyle w:val="Compact"/>
              <w:jc w:val="left"/>
            </w:pPr>
            <w:r>
              <w:t xml:space="preserve">Operational Planning &amp; Contingency Documentation</w:t>
            </w:r>
          </w:p>
        </w:tc>
        <w:tc>
          <w:tcPr/>
          <w:p>
            <w:pPr>
              <w:pStyle w:val="Compact"/>
              <w:jc w:val="left"/>
            </w:pPr>
            <w:r>
              <w:t xml:space="preserve">Per deliverable</w:t>
            </w:r>
          </w:p>
        </w:tc>
        <w:tc>
          <w:tcPr/>
          <w:p>
            <w:pPr>
              <w:pStyle w:val="Compact"/>
              <w:jc w:val="left"/>
            </w:pPr>
            <w:r>
              <w:t xml:space="preserve">295,000</w:t>
            </w:r>
          </w:p>
        </w:tc>
        <w:tc>
          <w:tcPr/>
          <w:p>
            <w:pPr>
              <w:pStyle w:val="Compact"/>
              <w:jc w:val="left"/>
            </w:pPr>
            <w:r>
              <w:t xml:space="preserve">885,000</w:t>
            </w:r>
          </w:p>
        </w:tc>
        <w:tc>
          <w:tcPr/>
          <w:p>
            <w:pPr>
              <w:pStyle w:val="Compact"/>
              <w:jc w:val="left"/>
            </w:pPr>
            <w:r>
              <w:t xml:space="preserve">3 deliverables</w:t>
            </w:r>
          </w:p>
        </w:tc>
      </w:tr>
      <w:tr>
        <w:tc>
          <w:tcPr/>
          <w:p>
            <w:pPr>
              <w:pStyle w:val="Compact"/>
              <w:jc w:val="left"/>
            </w:pPr>
            <w:r>
              <w:t xml:space="preserve">5</w:t>
            </w:r>
          </w:p>
        </w:tc>
        <w:tc>
          <w:tcPr/>
          <w:p>
            <w:pPr>
              <w:pStyle w:val="Compact"/>
              <w:jc w:val="left"/>
            </w:pPr>
            <w:r>
              <w:t xml:space="preserve">Inter-Agency Liaison &amp; Coordination (JSDF, Kyoto Prefectural Police)</w:t>
            </w:r>
          </w:p>
        </w:tc>
        <w:tc>
          <w:tcPr/>
          <w:p>
            <w:pPr>
              <w:pStyle w:val="Compact"/>
              <w:jc w:val="left"/>
            </w:pPr>
            <w:r>
              <w:t xml:space="preserve">Month</w:t>
            </w:r>
          </w:p>
        </w:tc>
        <w:tc>
          <w:tcPr/>
          <w:p>
            <w:pPr>
              <w:pStyle w:val="Compact"/>
              <w:jc w:val="left"/>
            </w:pPr>
            <w:r>
              <w:t xml:space="preserve">120,000</w:t>
            </w:r>
          </w:p>
        </w:tc>
        <w:tc>
          <w:tcPr/>
          <w:p>
            <w:pPr>
              <w:pStyle w:val="Compact"/>
              <w:jc w:val="left"/>
            </w:pPr>
            <w:r>
              <w:t xml:space="preserve">720,000</w:t>
            </w:r>
          </w:p>
        </w:tc>
        <w:tc>
          <w:tcPr/>
          <w:p>
            <w:pPr>
              <w:pStyle w:val="Compact"/>
              <w:jc w:val="left"/>
            </w:pPr>
            <w:r>
              <w:t xml:space="preserve">6 months</w:t>
            </w:r>
          </w:p>
        </w:tc>
      </w:tr>
      <w:tr>
        <w:tc>
          <w:tcPr/>
          <w:p>
            <w:pPr>
              <w:pStyle w:val="Compact"/>
              <w:jc w:val="left"/>
            </w:pPr>
            <w:r>
              <w:t xml:space="preserve">6</w:t>
            </w:r>
          </w:p>
        </w:tc>
        <w:tc>
          <w:tcPr/>
          <w:p>
            <w:pPr>
              <w:pStyle w:val="Compact"/>
              <w:jc w:val="left"/>
            </w:pPr>
            <w:r>
              <w:t xml:space="preserve">Monthly Intelligence &amp; Security Reporting</w:t>
            </w:r>
          </w:p>
        </w:tc>
        <w:tc>
          <w:tcPr/>
          <w:p>
            <w:pPr>
              <w:pStyle w:val="Compact"/>
              <w:jc w:val="left"/>
            </w:pPr>
            <w:r>
              <w:t xml:space="preserve">Month</w:t>
            </w:r>
          </w:p>
        </w:tc>
        <w:tc>
          <w:tcPr/>
          <w:p>
            <w:pPr>
              <w:pStyle w:val="Compact"/>
              <w:jc w:val="left"/>
            </w:pPr>
            <w:r>
              <w:t xml:space="preserve">85,000</w:t>
            </w:r>
          </w:p>
        </w:tc>
        <w:tc>
          <w:tcPr/>
          <w:p>
            <w:pPr>
              <w:pStyle w:val="Compact"/>
              <w:jc w:val="left"/>
            </w:pPr>
            <w:r>
              <w:t xml:space="preserve">510,000</w:t>
            </w:r>
          </w:p>
        </w:tc>
        <w:tc>
          <w:tcPr/>
          <w:p>
            <w:pPr>
              <w:pStyle w:val="Compact"/>
              <w:jc w:val="left"/>
            </w:pPr>
            <w:r>
              <w:t xml:space="preserve">6 months</w:t>
            </w:r>
          </w:p>
        </w:tc>
      </w:tr>
      <w:tr>
        <w:tc>
          <w:tcPr/>
          <w:p>
            <w:pPr>
              <w:pStyle w:val="Compact"/>
              <w:jc w:val="left"/>
            </w:pPr>
            <w:r>
              <w:t xml:space="preserve">7</w:t>
            </w:r>
          </w:p>
        </w:tc>
        <w:tc>
          <w:tcPr/>
          <w:p>
            <w:pPr>
              <w:pStyle w:val="Compact"/>
              <w:jc w:val="left"/>
            </w:pPr>
            <w:r>
              <w:t xml:space="preserve">Accommodation &amp; Local Logistics (Military Officer residence, Japan Kyoto)</w:t>
            </w:r>
          </w:p>
        </w:tc>
        <w:tc>
          <w:tcPr/>
          <w:p>
            <w:pPr>
              <w:pStyle w:val="Compact"/>
              <w:jc w:val="left"/>
            </w:pPr>
            <w:r>
              <w:t xml:space="preserve">Month</w:t>
            </w:r>
          </w:p>
        </w:tc>
        <w:tc>
          <w:tcPr/>
          <w:p>
            <w:pPr>
              <w:pStyle w:val="Compact"/>
              <w:jc w:val="left"/>
            </w:pPr>
            <w:r>
              <w:t xml:space="preserve">210,000</w:t>
            </w:r>
          </w:p>
        </w:tc>
        <w:tc>
          <w:tcPr/>
          <w:p>
            <w:pPr>
              <w:pStyle w:val="Compact"/>
              <w:jc w:val="left"/>
            </w:pPr>
            <w:r>
              <w:t xml:space="preserve">1,260,000</w:t>
            </w:r>
          </w:p>
        </w:tc>
        <w:tc>
          <w:tcPr/>
          <w:p>
            <w:pPr>
              <w:pStyle w:val="Compact"/>
              <w:jc w:val="left"/>
            </w:pPr>
            <w:r>
              <w:t xml:space="preserve">6 months</w:t>
            </w:r>
          </w:p>
        </w:tc>
      </w:tr>
      <w:tr>
        <w:tc>
          <w:tcPr/>
          <w:p>
            <w:pPr>
              <w:pStyle w:val="Compact"/>
              <w:jc w:val="left"/>
            </w:pPr>
            <w:r>
              <w:t xml:space="preserve">8</w:t>
            </w:r>
          </w:p>
        </w:tc>
        <w:tc>
          <w:tcPr/>
          <w:p>
            <w:pPr>
              <w:pStyle w:val="Compact"/>
              <w:jc w:val="left"/>
            </w:pPr>
            <w:r>
              <w:t xml:space="preserve">Travel &amp; Transportation (within Japan Kyoto and Kansai region)</w:t>
            </w:r>
          </w:p>
        </w:tc>
        <w:tc>
          <w:tcPr/>
          <w:p>
            <w:pPr>
              <w:pStyle w:val="Compact"/>
              <w:jc w:val="left"/>
            </w:pPr>
            <w:r>
              <w:t xml:space="preserve">Month</w:t>
            </w:r>
          </w:p>
        </w:tc>
        <w:tc>
          <w:tcPr/>
          <w:p>
            <w:pPr>
              <w:pStyle w:val="Compact"/>
              <w:jc w:val="left"/>
            </w:pPr>
            <w:r>
              <w:t xml:space="preserve">95,000</w:t>
            </w:r>
          </w:p>
        </w:tc>
        <w:tc>
          <w:tcPr/>
          <w:p>
            <w:pPr>
              <w:pStyle w:val="Compact"/>
              <w:jc w:val="left"/>
            </w:pPr>
            <w:r>
              <w:t xml:space="preserve">570,000</w:t>
            </w:r>
          </w:p>
        </w:tc>
        <w:tc>
          <w:tcPr/>
          <w:p>
            <w:pPr>
              <w:pStyle w:val="Compact"/>
              <w:jc w:val="left"/>
            </w:pPr>
            <w:r>
              <w:t xml:space="preserve">6 months</w:t>
            </w:r>
          </w:p>
        </w:tc>
      </w:tr>
      <w:tr>
        <w:tc>
          <w:tcPr/>
          <w:p>
            <w:pPr>
              <w:pStyle w:val="Compact"/>
              <w:jc w:val="left"/>
            </w:pPr>
            <w:r>
              <w:t xml:space="preserve">9</w:t>
            </w:r>
          </w:p>
        </w:tc>
        <w:tc>
          <w:tcPr/>
          <w:p>
            <w:pPr>
              <w:pStyle w:val="Compact"/>
              <w:jc w:val="left"/>
            </w:pPr>
            <w:r>
              <w:t xml:space="preserve">Administrative Support &amp; Communication Systems</w:t>
            </w:r>
          </w:p>
        </w:tc>
        <w:tc>
          <w:tcPr/>
          <w:p>
            <w:pPr>
              <w:pStyle w:val="Compact"/>
              <w:jc w:val="left"/>
            </w:pPr>
            <w:r>
              <w:t xml:space="preserve">Month</w:t>
            </w:r>
          </w:p>
        </w:tc>
        <w:tc>
          <w:tcPr/>
          <w:p>
            <w:pPr>
              <w:pStyle w:val="Compact"/>
              <w:jc w:val="left"/>
            </w:pPr>
            <w:r>
              <w:t xml:space="preserve">65,000</w:t>
            </w:r>
          </w:p>
        </w:tc>
        <w:tc>
          <w:tcPr/>
          <w:p>
            <w:pPr>
              <w:pStyle w:val="Compact"/>
              <w:jc w:val="left"/>
            </w:pPr>
            <w:r>
              <w:t xml:space="preserve">390,000</w:t>
            </w:r>
          </w:p>
        </w:tc>
        <w:tc>
          <w:tcPr/>
          <w:p>
            <w:pPr>
              <w:pStyle w:val="Compact"/>
              <w:jc w:val="left"/>
            </w:pPr>
            <w:r>
              <w:t xml:space="preserve">6 months</w:t>
            </w:r>
          </w:p>
        </w:tc>
      </w:tr>
      <w:tr>
        <w:tc>
          <w:tcPr>
            <w:gridSpan w:val="4"/>
          </w:tcPr>
          <w:p>
            <w:pPr>
              <w:pStyle w:val="Compact"/>
              <w:jc w:val="right"/>
            </w:pPr>
            <w:r>
              <w:t xml:space="preserve">SUBTOTAL</w:t>
            </w:r>
          </w:p>
        </w:tc>
        <w:tc>
          <w:tcPr/>
          <w:p>
            <w:pPr>
              <w:pStyle w:val="Compact"/>
              <w:jc w:val="left"/>
            </w:pPr>
            <w:r>
              <w:t xml:space="preserve">18,255,000</w:t>
            </w:r>
          </w:p>
        </w:tc>
        <w:tc>
          <w:tcPr/>
          <w:p>
            <w:pPr>
              <w:pStyle w:val="Compact"/>
            </w:pPr>
          </w:p>
        </w:tc>
      </w:tr>
      <w:tr>
        <w:tc>
          <w:tcPr>
            <w:gridSpan w:val="4"/>
          </w:tcPr>
          <w:p>
            <w:pPr>
              <w:pStyle w:val="Compact"/>
              <w:jc w:val="right"/>
            </w:pPr>
            <w:r>
              <w:t xml:space="preserve">Applicable Tax (10% Consumption Tax, Japan)</w:t>
            </w:r>
          </w:p>
        </w:tc>
        <w:tc>
          <w:tcPr/>
          <w:p>
            <w:pPr>
              <w:pStyle w:val="Compact"/>
              <w:jc w:val="left"/>
            </w:pPr>
            <w:r>
              <w:t xml:space="preserve">1,825,500</w:t>
            </w:r>
          </w:p>
        </w:tc>
        <w:tc>
          <w:tcPr/>
          <w:p>
            <w:pPr>
              <w:pStyle w:val="Compact"/>
            </w:pPr>
          </w:p>
        </w:tc>
      </w:tr>
      <w:tr>
        <w:tc>
          <w:tcPr>
            <w:gridSpan w:val="4"/>
          </w:tcPr>
          <w:p>
            <w:pPr>
              <w:pStyle w:val="Compact"/>
              <w:jc w:val="right"/>
            </w:pPr>
            <w:r>
              <w:t xml:space="preserve">GRAND TOTAL</w:t>
            </w:r>
          </w:p>
        </w:tc>
        <w:tc>
          <w:tcPr/>
          <w:p>
            <w:pPr>
              <w:pStyle w:val="Compact"/>
              <w:jc w:val="left"/>
            </w:pPr>
            <w:r>
              <w:t xml:space="preserve">20,080,500</w:t>
            </w:r>
          </w:p>
        </w:tc>
        <w:tc>
          <w:tcPr/>
          <w:p>
            <w:pPr>
              <w:pStyle w:val="Compact"/>
            </w:pPr>
          </w:p>
        </w:tc>
      </w:tr>
    </w:tbl>
    <w:p>
      <w:pPr>
        <w:pStyle w:val="BodyText"/>
      </w:pPr>
      <w:r>
        <w:t xml:space="preserve">All amounts are quoted in Japanese Yen (JPY). Exchange rate reference at time of quotation: 1 USD ≈ 155 JPY. Grand Total equivalent: approximately USD 129,551.</w:t>
      </w:r>
    </w:p>
    <w:bookmarkEnd w:id="23"/>
    <w:bookmarkStart w:id="24" w:name="terms-conditions"/>
    <w:p>
      <w:pPr>
        <w:pStyle w:val="Heading2"/>
      </w:pPr>
      <w:r>
        <w:t xml:space="preserve">4. Terms &amp; Conditions</w:t>
      </w:r>
    </w:p>
    <w:p>
      <w:pPr>
        <w:numPr>
          <w:ilvl w:val="0"/>
          <w:numId w:val="1002"/>
        </w:numPr>
        <w:pStyle w:val="Compact"/>
      </w:pPr>
      <w:r>
        <w:t xml:space="preserve">This Quotation Estimate is valid for thirty (30) calendar days from the date of issue. Beyond this period, pricing for the Military Officer engagement in Japan Kyoto is subject to revision based on market conditions and availability.</w:t>
      </w:r>
    </w:p>
    <w:p>
      <w:pPr>
        <w:numPr>
          <w:ilvl w:val="0"/>
          <w:numId w:val="1002"/>
        </w:numPr>
        <w:pStyle w:val="Compact"/>
      </w:pPr>
      <w:r>
        <w:t xml:space="preserve">Payment terms: 40% upon contract execution, 30% at the midpoint of the engagement (end of month 3), and 30% upon completion of the final deliverable. All payments shall be made via bank transfer to the account designated in the master service agreement.</w:t>
      </w:r>
    </w:p>
    <w:p>
      <w:pPr>
        <w:numPr>
          <w:ilvl w:val="0"/>
          <w:numId w:val="1002"/>
        </w:numPr>
        <w:pStyle w:val="Compact"/>
      </w:pPr>
      <w:r>
        <w:t xml:space="preserve">The Military Officer assigned to this Japan Kyoto deployment shall hold a minimum of twenty (20) years of active service, possess a cleared security background, and demonstrate proficiency in Japanese (JLPT N2 or above) to ensure effective liaison with local authorities in Kyoto.</w:t>
      </w:r>
    </w:p>
    <w:p>
      <w:pPr>
        <w:numPr>
          <w:ilvl w:val="0"/>
          <w:numId w:val="1002"/>
        </w:numPr>
        <w:pStyle w:val="Compact"/>
      </w:pPr>
      <w:r>
        <w:t xml:space="preserve">All work products, reports, and documentation generated under this Quotation Estimate shall remain the exclusive property of the client organization. The Military Officer and Global Defense Advisory Group Ltd. shall comply with Japan's Act on the Protection of Personal Information (APPI) and all applicable national security regulations.</w:t>
      </w:r>
    </w:p>
    <w:p>
      <w:pPr>
        <w:numPr>
          <w:ilvl w:val="0"/>
          <w:numId w:val="1002"/>
        </w:numPr>
        <w:pStyle w:val="Compact"/>
      </w:pPr>
      <w:r>
        <w:t xml:space="preserve">Either party may terminate the engagement with thirty (30) days' written notice. In the event of early termination, fees for services rendered up to the termination date shall be invoiced in full.</w:t>
      </w:r>
    </w:p>
    <w:p>
      <w:pPr>
        <w:numPr>
          <w:ilvl w:val="0"/>
          <w:numId w:val="1002"/>
        </w:numPr>
        <w:pStyle w:val="Compact"/>
      </w:pPr>
      <w:r>
        <w:t xml:space="preserve">This Quotation Estimate does not constitute a binding contract. A formal Master Service Agreement (MSA) and Statement of Work (SOW) must be executed by both parties prior to the commencement of any services in Japan Kyoto.</w:t>
      </w:r>
    </w:p>
    <w:p>
      <w:pPr>
        <w:numPr>
          <w:ilvl w:val="0"/>
          <w:numId w:val="1002"/>
        </w:numPr>
        <w:pStyle w:val="Compact"/>
      </w:pPr>
      <w:r>
        <w:t xml:space="preserve">Force majeure events, including but not limited to natural disasters (earthquakes, typhoons) affecting the Japan Kyoto region, shall suspend obligations under this agreement without penalty to either party.</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 Quotation Estimate and agrees to the terms outlined herein for the Military Officer services to be provided in Japan Kyoto. This signature constitutes a request to proceed with contract preparation.</w:t>
      </w:r>
    </w:p>
    <w:p>
      <w:pPr>
        <w:pStyle w:val="BodyText"/>
      </w:pPr>
      <w:r>
        <w:rPr>
          <w:bCs/>
          <w:b/>
        </w:rPr>
        <w:t xml:space="preserve">For the Client</w:t>
      </w:r>
      <w:r>
        <w:br/>
      </w:r>
      <w:r>
        <w:t xml:space="preserve">Director Tanaka, Security &amp; Protocol Division</w:t>
      </w:r>
      <w:r>
        <w:br/>
      </w:r>
      <w:r>
        <w:t xml:space="preserve">Ministry of Foreign Affairs — Kyoto Regional Office</w:t>
      </w:r>
      <w:r>
        <w:br/>
      </w:r>
      <w:r>
        <w:t xml:space="preserve">Date: ____________________</w:t>
      </w:r>
    </w:p>
    <w:p>
      <w:pPr>
        <w:pStyle w:val="BodyText"/>
      </w:pPr>
      <w:r>
        <w:rPr>
          <w:bCs/>
          <w:b/>
        </w:rPr>
        <w:t xml:space="preserve">For Global Defense Advisory Group Ltd.</w:t>
      </w:r>
      <w:r>
        <w:br/>
      </w:r>
      <w:r>
        <w:t xml:space="preserve">Chief Contracts Officer</w:t>
      </w:r>
      <w:r>
        <w:br/>
      </w:r>
      <w:r>
        <w:t xml:space="preserve">Date: ____________________</w:t>
      </w:r>
    </w:p>
    <w:p>
      <w:pPr>
        <w:pStyle w:val="BodyText"/>
      </w:pPr>
      <w:r>
        <w:t xml:space="preserve">Global Defense Advisory Group Ltd. | Registered in Japan (Tokyo) | License No. GDA-2019-00847</w:t>
      </w:r>
      <w:r>
        <w:br/>
      </w:r>
      <w:r>
        <w:t xml:space="preserve">This Quotation Estimate is confidential and intended solely for the named client. Unauthorized distribution is prohibited.</w:t>
      </w:r>
      <w:r>
        <w:br/>
      </w:r>
      <w:r>
        <w:t xml:space="preserve">Document QE-JK-2025-0472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Japan Kyoto</dc:title>
  <dc:creator/>
  <dc:language>en</dc:language>
  <cp:keywords/>
  <dcterms:created xsi:type="dcterms:W3CDTF">2026-10-10T07:03:26Z</dcterms:created>
  <dcterms:modified xsi:type="dcterms:W3CDTF">2026-10-10T07:03:26Z</dcterms:modified>
</cp:coreProperties>
</file>

<file path=docProps/custom.xml><?xml version="1.0" encoding="utf-8"?>
<Properties xmlns="http://schemas.openxmlformats.org/officeDocument/2006/custom-properties" xmlns:vt="http://schemas.openxmlformats.org/officeDocument/2006/docPropsVTypes"/>
</file>